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8A3492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031683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186345">
        <w:rPr>
          <w:rFonts w:ascii="Times New Roman" w:hAnsi="Times New Roman" w:cs="Times New Roman"/>
          <w:lang w:val="sr-Latn-RS"/>
        </w:rPr>
        <w:t>Prema Regulativi (EC) br. 1907/2006)</w:t>
      </w:r>
      <w:r w:rsidRPr="00031683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203EA8">
        <w:rPr>
          <w:rFonts w:ascii="Times New Roman" w:hAnsi="Times New Roman" w:cs="Times New Roman"/>
          <w:lang w:val="sr-Latn-CS"/>
        </w:rPr>
        <w:t>decembar, 2012</w:t>
      </w:r>
      <w:r w:rsidR="0004713E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8B2A29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474541" w:rsidRDefault="00474541" w:rsidP="00474541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ROVIMIX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β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-Carotene 10%  </w:t>
            </w:r>
          </w:p>
          <w:p w:rsidR="00096130" w:rsidRPr="00A4469C" w:rsidRDefault="00096130" w:rsidP="00474541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74541" w:rsidP="00BA07AB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Aditiv za premikse i sastojak hrane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74541">
        <w:trPr>
          <w:trHeight w:val="151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8B2A29">
              <w:rPr>
                <w:rFonts w:ascii="Times-New-Roman" w:hAnsi="Times-New-Roman" w:cs="Times-New-Roman"/>
              </w:rPr>
              <w:t>Ltd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</w:t>
            </w:r>
            <w:r w:rsidR="008B2A29">
              <w:rPr>
                <w:rFonts w:ascii="Times-New-Roman" w:hAnsi="Times-New-Roman" w:cs="Times-New-Roman"/>
                <w:lang w:val="de-DE"/>
              </w:rPr>
              <w:t>618158888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8B2A29">
              <w:rPr>
                <w:rFonts w:ascii="Times-New-Roman" w:hAnsi="Times-New-Roman" w:cs="Times-New-Roman"/>
                <w:lang w:val="de-DE"/>
              </w:rPr>
              <w:t>41618157253</w:t>
            </w:r>
          </w:p>
          <w:p w:rsidR="004105AA" w:rsidRPr="004105AA" w:rsidRDefault="004105A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474541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 w:rsidR="00474541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474541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474541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203EA8" w:rsidRDefault="00A3582C" w:rsidP="00203E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203EA8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203EA8">
              <w:rPr>
                <w:rFonts w:ascii="Times New Roman" w:eastAsia="Times New Roman" w:hAnsi="Times New Roman" w:cs="Times New Roman"/>
              </w:rPr>
              <w:t xml:space="preserve"> </w:t>
            </w:r>
            <w:r w:rsidR="00203EA8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203EA8">
              <w:rPr>
                <w:rFonts w:ascii="Times New Roman" w:eastAsia="Times New Roman" w:hAnsi="Times New Roman" w:cs="Times New Roman"/>
              </w:rPr>
              <w:t>atovljev</w:t>
            </w:r>
            <w:r w:rsidR="00203EA8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203EA8" w:rsidP="00203EA8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3"/>
        <w:gridCol w:w="1260"/>
        <w:gridCol w:w="990"/>
        <w:gridCol w:w="450"/>
        <w:gridCol w:w="1562"/>
        <w:gridCol w:w="1498"/>
        <w:gridCol w:w="2533"/>
      </w:tblGrid>
      <w:tr w:rsidR="00FC4D1B" w:rsidTr="00505DE2">
        <w:trPr>
          <w:trHeight w:val="2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8558C9">
        <w:trPr>
          <w:trHeight w:val="665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74541" w:rsidRDefault="00FC4D1B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474541" w:rsidRDefault="00474541" w:rsidP="004745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Prema 67/548/EEC, 1999/45/EC:</w:t>
            </w:r>
          </w:p>
          <w:p w:rsidR="00474541" w:rsidRDefault="00474541" w:rsidP="0047454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8B2A29" w:rsidRPr="008B2A29" w:rsidRDefault="008B2A29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B2A29">
              <w:rPr>
                <w:rFonts w:ascii="Times New Roman" w:eastAsia="Times New Roman" w:hAnsi="Times New Roman" w:cs="Times New Roman"/>
                <w:bCs/>
              </w:rPr>
              <w:t>Dodatne opasnosti: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74541" w:rsidRDefault="00474541" w:rsidP="00BA07A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4541" w:rsidRDefault="00474541" w:rsidP="00474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 spada u opasne supstance ili smeše prema EC-direktivama 67/548/EEC ili 1999/45/EC</w:t>
            </w:r>
          </w:p>
          <w:p w:rsidR="008B2A29" w:rsidRPr="008B2A29" w:rsidRDefault="008B2A29" w:rsidP="008558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9F787D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152071" w:rsidTr="002739FC">
        <w:trPr>
          <w:trHeight w:val="70"/>
          <w:jc w:val="center"/>
        </w:trPr>
        <w:tc>
          <w:tcPr>
            <w:tcW w:w="496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043" w:type="dxa"/>
            <w:gridSpan w:val="4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A17F06" w:rsidP="00351E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A3622A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2739FC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F6330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4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8558C9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04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DD10C3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B2A29">
        <w:trPr>
          <w:trHeight w:val="198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04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E1331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04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E34D54">
        <w:trPr>
          <w:trHeight w:val="7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505DE2">
        <w:trPr>
          <w:trHeight w:val="152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Pr="00A4469C" w:rsidRDefault="00474541" w:rsidP="00474541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r w:rsidRPr="00E93EB4">
              <w:rPr>
                <w:rFonts w:ascii="Times New Roman" w:hAnsi="Times New Roman" w:cs="Times New Roman"/>
                <w:b/>
                <w:bCs/>
              </w:rPr>
              <w:t xml:space="preserve"> proizvoda: 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smeša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koja sadrži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aktivne komponente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i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pomoćne supstance.</w:t>
            </w:r>
          </w:p>
        </w:tc>
      </w:tr>
      <w:tr w:rsidR="00D9076B" w:rsidTr="004267BB">
        <w:trPr>
          <w:trHeight w:val="50"/>
          <w:jc w:val="center"/>
        </w:trPr>
        <w:tc>
          <w:tcPr>
            <w:tcW w:w="271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6B" w:rsidRPr="00A4469C" w:rsidRDefault="00D9076B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Opasne komponente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6B" w:rsidRPr="00A4469C" w:rsidRDefault="00D9076B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6B" w:rsidRPr="00A4469C" w:rsidRDefault="00D9076B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76B" w:rsidRPr="00A4469C" w:rsidRDefault="00D9076B" w:rsidP="00D90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149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76B" w:rsidRPr="001217D2" w:rsidRDefault="00D9076B" w:rsidP="00D90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253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9076B" w:rsidRPr="00A4469C" w:rsidRDefault="00D9076B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udeo (%)</w:t>
            </w:r>
          </w:p>
        </w:tc>
      </w:tr>
      <w:tr w:rsidR="00D9076B" w:rsidTr="004267BB">
        <w:trPr>
          <w:trHeight w:val="70"/>
          <w:jc w:val="center"/>
        </w:trPr>
        <w:tc>
          <w:tcPr>
            <w:tcW w:w="27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6B" w:rsidRPr="00D9076B" w:rsidRDefault="00D9076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076B">
              <w:rPr>
                <w:rFonts w:ascii="Times New Roman" w:hAnsi="Times New Roman" w:cs="Times New Roman"/>
              </w:rPr>
              <w:t>ethoxyquin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6B" w:rsidRPr="00D9076B" w:rsidRDefault="00D9076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D9076B">
              <w:rPr>
                <w:rFonts w:ascii="Times New Roman" w:hAnsi="Times New Roman" w:cs="Times New Roman"/>
                <w:bCs/>
                <w:lang w:val="de-DE"/>
              </w:rPr>
              <w:t>91-53-2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6B" w:rsidRPr="00D9076B" w:rsidRDefault="00D9076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D9076B">
              <w:rPr>
                <w:rFonts w:ascii="Times New Roman" w:hAnsi="Times New Roman" w:cs="Times New Roman"/>
                <w:bCs/>
                <w:lang w:val="de-DE"/>
              </w:rPr>
              <w:t>202-075-7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6B" w:rsidRPr="00D9076B" w:rsidRDefault="00D9076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D9076B">
              <w:rPr>
                <w:rFonts w:ascii="Times New Roman" w:hAnsi="Times New Roman" w:cs="Times New Roman"/>
                <w:lang w:val="de-DE"/>
              </w:rPr>
              <w:t>Xn;R22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6B" w:rsidRPr="00D9076B" w:rsidRDefault="00D9076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076B" w:rsidRPr="00D9076B" w:rsidRDefault="00D9076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D9076B">
              <w:rPr>
                <w:rFonts w:ascii="Times New Roman" w:hAnsi="Times New Roman" w:cs="Times New Roman"/>
                <w:lang w:val="de-DE"/>
              </w:rPr>
              <w:t>&gt;= 1- &lt; 5</w:t>
            </w:r>
          </w:p>
        </w:tc>
      </w:tr>
      <w:tr w:rsidR="00D9076B" w:rsidTr="004267BB">
        <w:trPr>
          <w:trHeight w:val="64"/>
          <w:jc w:val="center"/>
        </w:trPr>
        <w:tc>
          <w:tcPr>
            <w:tcW w:w="271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076B" w:rsidRPr="00D9076B" w:rsidRDefault="00D9076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076B">
              <w:rPr>
                <w:rFonts w:ascii="Times New Roman" w:hAnsi="Times New Roman" w:cs="Times New Roman"/>
              </w:rPr>
              <w:t>6-O-palmitoy</w:t>
            </w:r>
            <w:r w:rsidR="004267BB">
              <w:rPr>
                <w:rFonts w:ascii="Times New Roman" w:hAnsi="Times New Roman" w:cs="Times New Roman"/>
              </w:rPr>
              <w:t>l</w:t>
            </w:r>
            <w:r w:rsidRPr="00D9076B">
              <w:rPr>
                <w:rFonts w:ascii="Times New Roman" w:hAnsi="Times New Roman" w:cs="Times New Roman"/>
              </w:rPr>
              <w:t>ascorbic acid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076B" w:rsidRPr="00D9076B" w:rsidRDefault="00D9076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D9076B">
              <w:rPr>
                <w:rFonts w:ascii="Times New Roman" w:hAnsi="Times New Roman" w:cs="Times New Roman"/>
                <w:bCs/>
                <w:lang w:val="de-DE"/>
              </w:rPr>
              <w:t>137-66-6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076B" w:rsidRPr="00D9076B" w:rsidRDefault="00D9076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D9076B">
              <w:rPr>
                <w:rFonts w:ascii="Times New Roman" w:hAnsi="Times New Roman" w:cs="Times New Roman"/>
                <w:bCs/>
                <w:lang w:val="de-DE"/>
              </w:rPr>
              <w:t>205-305-4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076B" w:rsidRPr="00D9076B" w:rsidRDefault="00D9076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D9076B">
              <w:rPr>
                <w:rFonts w:ascii="Times New Roman" w:hAnsi="Times New Roman" w:cs="Times New Roman"/>
                <w:lang w:val="de-DE"/>
              </w:rPr>
              <w:t>R52-R53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076B" w:rsidRPr="00D9076B" w:rsidRDefault="00D9076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9076B" w:rsidRPr="00D9076B" w:rsidRDefault="00D9076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D9076B">
              <w:rPr>
                <w:rFonts w:ascii="Times New Roman" w:hAnsi="Times New Roman" w:cs="Times New Roman"/>
                <w:lang w:val="de-DE"/>
              </w:rPr>
              <w:t>&gt;= 1- &lt; 5</w:t>
            </w:r>
          </w:p>
        </w:tc>
      </w:tr>
      <w:tr w:rsidR="00D9076B" w:rsidTr="001A0C70">
        <w:trPr>
          <w:trHeight w:val="458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9076B" w:rsidRDefault="00D9076B" w:rsidP="00D9076B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</w:rPr>
              <w:t>Ostale komponente</w:t>
            </w:r>
          </w:p>
        </w:tc>
      </w:tr>
      <w:tr w:rsidR="00D9076B" w:rsidTr="004267BB">
        <w:trPr>
          <w:trHeight w:val="368"/>
          <w:jc w:val="center"/>
        </w:trPr>
        <w:tc>
          <w:tcPr>
            <w:tcW w:w="271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6B" w:rsidRPr="00D9076B" w:rsidRDefault="00D9076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</w:t>
            </w:r>
            <w:r w:rsidRPr="00D9076B">
              <w:rPr>
                <w:rFonts w:ascii="Times New Roman" w:hAnsi="Times New Roman" w:cs="Times New Roman"/>
              </w:rPr>
              <w:t>,β-carotene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6B" w:rsidRPr="00D9076B" w:rsidRDefault="00D9076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D9076B">
              <w:rPr>
                <w:rFonts w:ascii="Times New Roman" w:hAnsi="Times New Roman" w:cs="Times New Roman"/>
                <w:bCs/>
                <w:lang w:val="de-DE"/>
              </w:rPr>
              <w:t>7235-40-7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6B" w:rsidRPr="00D9076B" w:rsidRDefault="00D9076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D9076B">
              <w:rPr>
                <w:rFonts w:ascii="Times New Roman" w:hAnsi="Times New Roman" w:cs="Times New Roman"/>
                <w:bCs/>
                <w:lang w:val="de-DE"/>
              </w:rPr>
              <w:t>230-636-6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6B" w:rsidRPr="00D9076B" w:rsidRDefault="00D9076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6B" w:rsidRPr="00D9076B" w:rsidRDefault="00D9076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076B" w:rsidRPr="00D9076B" w:rsidRDefault="00D9076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D9076B">
              <w:rPr>
                <w:rFonts w:ascii="Times New Roman" w:hAnsi="Times New Roman" w:cs="Times New Roman"/>
                <w:lang w:val="de-DE"/>
              </w:rPr>
              <w:t xml:space="preserve">&gt;= </w:t>
            </w:r>
            <w:r>
              <w:rPr>
                <w:rFonts w:ascii="Times New Roman" w:hAnsi="Times New Roman" w:cs="Times New Roman"/>
                <w:lang w:val="de-DE"/>
              </w:rPr>
              <w:t>10</w:t>
            </w:r>
            <w:r w:rsidRPr="00D9076B">
              <w:rPr>
                <w:rFonts w:ascii="Times New Roman" w:hAnsi="Times New Roman" w:cs="Times New Roman"/>
                <w:lang w:val="de-DE"/>
              </w:rPr>
              <w:t>- &lt;</w:t>
            </w:r>
            <w:r>
              <w:rPr>
                <w:rFonts w:ascii="Times New Roman" w:hAnsi="Times New Roman" w:cs="Times New Roman"/>
                <w:lang w:val="de-DE"/>
              </w:rPr>
              <w:t>= 15</w:t>
            </w:r>
          </w:p>
        </w:tc>
      </w:tr>
      <w:tr w:rsidR="003B320B" w:rsidTr="004267BB">
        <w:trPr>
          <w:trHeight w:val="368"/>
          <w:jc w:val="center"/>
        </w:trPr>
        <w:tc>
          <w:tcPr>
            <w:tcW w:w="27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B" w:rsidRDefault="003B320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sucrose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B" w:rsidRPr="00D9076B" w:rsidRDefault="003B320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57-50-1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B" w:rsidRPr="00D9076B" w:rsidRDefault="003B320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200-334-9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B" w:rsidRPr="00D9076B" w:rsidRDefault="003B320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B" w:rsidRPr="00D9076B" w:rsidRDefault="003B320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B320B" w:rsidRPr="00D9076B" w:rsidRDefault="003B320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D9076B">
              <w:rPr>
                <w:rFonts w:ascii="Times New Roman" w:hAnsi="Times New Roman" w:cs="Times New Roman"/>
                <w:lang w:val="de-DE"/>
              </w:rPr>
              <w:t xml:space="preserve">&gt;= </w:t>
            </w:r>
            <w:r>
              <w:rPr>
                <w:rFonts w:ascii="Times New Roman" w:hAnsi="Times New Roman" w:cs="Times New Roman"/>
                <w:lang w:val="de-DE"/>
              </w:rPr>
              <w:t>10</w:t>
            </w:r>
            <w:r w:rsidRPr="00D9076B">
              <w:rPr>
                <w:rFonts w:ascii="Times New Roman" w:hAnsi="Times New Roman" w:cs="Times New Roman"/>
                <w:lang w:val="de-DE"/>
              </w:rPr>
              <w:t>- &lt;</w:t>
            </w:r>
            <w:r>
              <w:rPr>
                <w:rFonts w:ascii="Times New Roman" w:hAnsi="Times New Roman" w:cs="Times New Roman"/>
                <w:lang w:val="de-DE"/>
              </w:rPr>
              <w:t>= 15</w:t>
            </w:r>
          </w:p>
        </w:tc>
      </w:tr>
      <w:tr w:rsidR="003B320B" w:rsidTr="004267BB">
        <w:trPr>
          <w:trHeight w:val="368"/>
          <w:jc w:val="center"/>
        </w:trPr>
        <w:tc>
          <w:tcPr>
            <w:tcW w:w="27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B" w:rsidRDefault="003B320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skrob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B" w:rsidRDefault="003B320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9005-25-8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B" w:rsidRDefault="003B320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232-679-6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B" w:rsidRPr="00D9076B" w:rsidRDefault="003B320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B" w:rsidRPr="00D9076B" w:rsidRDefault="003B320B" w:rsidP="00D90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B320B" w:rsidRPr="00D9076B" w:rsidRDefault="003B320B" w:rsidP="003B3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D9076B">
              <w:rPr>
                <w:rFonts w:ascii="Times New Roman" w:hAnsi="Times New Roman" w:cs="Times New Roman"/>
                <w:lang w:val="de-DE"/>
              </w:rPr>
              <w:t xml:space="preserve">&gt;= </w:t>
            </w:r>
            <w:r>
              <w:rPr>
                <w:rFonts w:ascii="Times New Roman" w:hAnsi="Times New Roman" w:cs="Times New Roman"/>
                <w:lang w:val="de-DE"/>
              </w:rPr>
              <w:t>30</w:t>
            </w:r>
            <w:r w:rsidRPr="00D9076B">
              <w:rPr>
                <w:rFonts w:ascii="Times New Roman" w:hAnsi="Times New Roman" w:cs="Times New Roman"/>
                <w:lang w:val="de-DE"/>
              </w:rPr>
              <w:t>- &lt;</w:t>
            </w:r>
            <w:r>
              <w:rPr>
                <w:rFonts w:ascii="Times New Roman" w:hAnsi="Times New Roman" w:cs="Times New Roman"/>
                <w:lang w:val="de-DE"/>
              </w:rPr>
              <w:t>= 35</w:t>
            </w:r>
          </w:p>
        </w:tc>
      </w:tr>
      <w:tr w:rsidR="00D9076B" w:rsidTr="009F787D">
        <w:trPr>
          <w:trHeight w:val="70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45F2" w:rsidRPr="001D45F2" w:rsidRDefault="001D45F2" w:rsidP="001D45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Klasifika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1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</w:t>
            </w:r>
            <w:r w:rsidRPr="001D45F2">
              <w:rPr>
                <w:rFonts w:ascii="Times New Roman" w:hAnsi="Times New Roman" w:cs="Times New Roman"/>
                <w:lang w:val="sr-Latn-RS"/>
              </w:rPr>
              <w:t>voda ( „Sl.glasnik RS“ br.59/10 i 25/11)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  <w:p w:rsidR="001D45F2" w:rsidRPr="001D45F2" w:rsidRDefault="001D45F2" w:rsidP="001D45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1D45F2">
              <w:rPr>
                <w:rFonts w:ascii="Times New Roman" w:hAnsi="Times New Roman" w:cs="Times New Roman"/>
                <w:lang w:val="de-DE"/>
              </w:rPr>
              <w:t>Klasifika</w:t>
            </w:r>
            <w:r w:rsidRPr="001D45F2">
              <w:rPr>
                <w:rFonts w:ascii="Times New Roman" w:hAnsi="Times New Roman" w:cs="Times New Roman"/>
                <w:lang w:val="sr-Latn-RS"/>
              </w:rPr>
              <w:t>cija</w:t>
            </w:r>
            <w:r w:rsidRPr="001D45F2"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  <w:r w:rsidRPr="001D45F2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u skladu sa Globalno harmonizovanim sistemom za klasifikaciju i obeležavanje UN ( „Sl.glasnik RS“ br.64/10 i 26/11).</w:t>
            </w:r>
          </w:p>
          <w:p w:rsidR="00D9076B" w:rsidRDefault="00D9076B" w:rsidP="001D45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1D45F2">
              <w:rPr>
                <w:rFonts w:ascii="Times New Roman" w:hAnsi="Times New Roman" w:cs="Times New Roman"/>
                <w:lang w:val="de-DE"/>
              </w:rPr>
              <w:t>Za više informacija videti tačku 16.</w:t>
            </w:r>
          </w:p>
        </w:tc>
      </w:tr>
      <w:tr w:rsidR="00D9076B" w:rsidTr="008558C9">
        <w:trPr>
          <w:trHeight w:val="7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9076B" w:rsidRPr="00074FD9" w:rsidRDefault="00D9076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D9076B" w:rsidTr="00A15368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9076B" w:rsidRPr="00A4469C" w:rsidRDefault="00D9076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D9076B" w:rsidRPr="00A4469C" w:rsidRDefault="00D9076B" w:rsidP="00A153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Ne izaziva opasnost koja zahteva posebne mere prve pomoći</w:t>
            </w:r>
          </w:p>
        </w:tc>
      </w:tr>
      <w:tr w:rsidR="00D9076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9076B" w:rsidRPr="00A4469C" w:rsidRDefault="00D9076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04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9076B" w:rsidRPr="00A4469C" w:rsidRDefault="00D9076B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Osobu izvesti na svež vazduh</w:t>
            </w:r>
            <w:r>
              <w:rPr>
                <w:rFonts w:ascii="Times-New-Roman" w:hAnsi="Times-New-Roman" w:cs="Times-New-Roman"/>
              </w:rPr>
              <w:t xml:space="preserve"> u slučaju nenamernog udisanja prašine ili isparenja od pregrejanog proizvoda ili sagorevanja</w:t>
            </w:r>
            <w:r w:rsidRPr="00A4469C">
              <w:rPr>
                <w:rFonts w:ascii="Times-New-Roman" w:hAnsi="Times-New-Roman" w:cs="Times-New-Roman"/>
              </w:rPr>
              <w:t xml:space="preserve">. </w:t>
            </w:r>
            <w:r>
              <w:rPr>
                <w:rFonts w:ascii="Times-New-Roman" w:hAnsi="Times-New-Roman" w:cs="Times-New-Roman"/>
              </w:rPr>
              <w:t>Ukoliko ostanu simptomi konsultovati lekara.</w:t>
            </w:r>
          </w:p>
        </w:tc>
      </w:tr>
      <w:tr w:rsidR="00D9076B" w:rsidTr="001D45F2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9076B" w:rsidRPr="00A4469C" w:rsidRDefault="00D9076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9076B" w:rsidRPr="00A4469C" w:rsidRDefault="00D9076B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odmah kontaminiranu odeću i obuću. Isprati kožu sa dosta vode i sapuna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</w:tbl>
    <w:p w:rsidR="001D45F2" w:rsidRPr="002C21D4" w:rsidRDefault="001D45F2" w:rsidP="001D45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β-Carotene 10%)</w:t>
      </w:r>
    </w:p>
    <w:p w:rsidR="001D45F2" w:rsidRPr="002C21D4" w:rsidRDefault="001D45F2" w:rsidP="001D45F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203EA8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D45F2" w:rsidRDefault="001D45F2" w:rsidP="001D45F2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D9076B" w:rsidTr="001D45F2">
        <w:trPr>
          <w:trHeight w:val="465"/>
          <w:jc w:val="center"/>
        </w:trPr>
        <w:tc>
          <w:tcPr>
            <w:tcW w:w="469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D9076B" w:rsidRPr="00A4469C" w:rsidRDefault="00D9076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Nakon dodira s očima:</w:t>
            </w:r>
          </w:p>
        </w:tc>
        <w:tc>
          <w:tcPr>
            <w:tcW w:w="631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D9076B" w:rsidRPr="00A4469C" w:rsidRDefault="00D9076B" w:rsidP="00A153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Ukloniti kontaktna sočiva. Zaštiti nepovređeno oko. Držati oko širom otvoreno u toku ispiranja. </w:t>
            </w:r>
          </w:p>
        </w:tc>
      </w:tr>
      <w:tr w:rsidR="00D9076B" w:rsidTr="001D45F2">
        <w:trPr>
          <w:trHeight w:val="198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9076B" w:rsidRPr="00A4469C" w:rsidRDefault="00D9076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9076B" w:rsidRPr="00A4469C" w:rsidRDefault="00D9076B" w:rsidP="00A153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Isprati vodom usta, a zatim piti velike količine vode. Ne davati </w:t>
            </w:r>
            <w:proofErr w:type="gramStart"/>
            <w:r>
              <w:rPr>
                <w:rFonts w:ascii="Times-New-Roman" w:hAnsi="Times-New-Roman" w:cs="Times-New-Roman"/>
              </w:rPr>
              <w:t>mleko  niti</w:t>
            </w:r>
            <w:proofErr w:type="gramEnd"/>
            <w:r>
              <w:rPr>
                <w:rFonts w:ascii="Times-New-Roman" w:hAnsi="Times-New-Roman" w:cs="Times-New-Roman"/>
              </w:rPr>
              <w:t xml:space="preserve"> alkoholna pica. Nikada ne stavljati ništa u usta onesvešćenoj osobi. </w:t>
            </w:r>
          </w:p>
        </w:tc>
      </w:tr>
      <w:tr w:rsidR="00D9076B" w:rsidTr="001D45F2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6B" w:rsidRPr="00A4469C" w:rsidRDefault="00D9076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076B" w:rsidRPr="00A4469C" w:rsidRDefault="00D9076B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9076B" w:rsidTr="001D45F2">
        <w:trPr>
          <w:trHeight w:val="287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9076B" w:rsidRPr="00A4469C" w:rsidRDefault="00D9076B" w:rsidP="00A71C5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9076B" w:rsidRPr="00A4469C" w:rsidRDefault="00D9076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51D00" w:rsidTr="001D45F2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5377C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F63302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F63302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BD78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F6330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Default="00F63302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  <w:tr w:rsidR="00F63302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F63302" w:rsidTr="001D45F2">
        <w:trPr>
          <w:trHeight w:val="233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A153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</w:t>
            </w:r>
            <w:r w:rsidR="00A15368">
              <w:rPr>
                <w:rFonts w:ascii="Times-New-Roman" w:hAnsi="Times-New-Roman" w:cs="Times-New-Roman"/>
              </w:rPr>
              <w:t xml:space="preserve"> formiranje</w:t>
            </w:r>
            <w:r>
              <w:rPr>
                <w:rFonts w:ascii="Times-New-Roman" w:hAnsi="Times-New-Roman" w:cs="Times-New-Roman"/>
              </w:rPr>
              <w:t xml:space="preserve"> prašin</w:t>
            </w:r>
            <w:r w:rsidR="00A15368">
              <w:rPr>
                <w:rFonts w:ascii="Times-New-Roman" w:hAnsi="Times-New-Roman" w:cs="Times-New-Roman"/>
              </w:rPr>
              <w:t>e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DD1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Sprečiti dospeće proizvoda u površinske vode </w:t>
            </w:r>
            <w:r>
              <w:rPr>
                <w:rFonts w:ascii="Times-New-Roman" w:hAnsi="Times-New-Roman" w:cs="Times-New-Roman"/>
              </w:rPr>
              <w:t xml:space="preserve">ili sanitarni </w:t>
            </w:r>
            <w:proofErr w:type="gramStart"/>
            <w:r>
              <w:rPr>
                <w:rFonts w:ascii="Times-New-Roman" w:hAnsi="Times-New-Roman" w:cs="Times-New-Roman"/>
              </w:rPr>
              <w:t xml:space="preserve">kanalizacioni </w:t>
            </w:r>
            <w:r w:rsidR="00DD10C3">
              <w:rPr>
                <w:rFonts w:ascii="Times-New-Roman" w:hAnsi="Times-New-Roman" w:cs="Times-New-Roman"/>
              </w:rPr>
              <w:t xml:space="preserve"> </w:t>
            </w:r>
            <w:r w:rsidRPr="00A4469C">
              <w:rPr>
                <w:rFonts w:ascii="Times-New-Roman" w:hAnsi="Times-New-Roman" w:cs="Times-New-Roman"/>
              </w:rPr>
              <w:t>odvodni</w:t>
            </w:r>
            <w:proofErr w:type="gram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sistem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Nikakve posebne predostrožnosti nisu neophodne.</w:t>
            </w:r>
          </w:p>
        </w:tc>
      </w:tr>
      <w:tr w:rsidR="00F63302" w:rsidTr="001D45F2">
        <w:trPr>
          <w:trHeight w:val="224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Pr="00A4469C" w:rsidRDefault="00F63302" w:rsidP="00A153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Počistiti</w:t>
            </w:r>
            <w:r w:rsidR="00A15368">
              <w:rPr>
                <w:rFonts w:ascii="Times-New-Roman" w:hAnsi="Times-New-Roman" w:cs="Times-New-Roman"/>
              </w:rPr>
              <w:t xml:space="preserve"> lopatom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F63302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ED030C" w:rsidRDefault="001D45F2" w:rsidP="001D45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Za mere lične zaštite videti tačku </w:t>
            </w:r>
            <w:r w:rsidR="00A15368">
              <w:rPr>
                <w:rFonts w:ascii="Times-New-Roman" w:hAnsi="Times-New-Roman" w:cs="Times-New-Roman"/>
              </w:rPr>
              <w:t>8. Nikakve posebne mere opreza nisu neophodne.</w:t>
            </w:r>
          </w:p>
        </w:tc>
      </w:tr>
      <w:tr w:rsidR="00F63302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D459DB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12537F" w:rsidRDefault="00F63302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BC048F" w:rsidP="001D45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Zaštititi od </w:t>
            </w:r>
            <w:r w:rsidR="001D45F2">
              <w:rPr>
                <w:rFonts w:ascii="Times-New-Roman" w:hAnsi="Times-New-Roman" w:cs="Times-New-Roman"/>
              </w:rPr>
              <w:t xml:space="preserve">vlage i </w:t>
            </w:r>
            <w:r w:rsidR="00A15368">
              <w:rPr>
                <w:rFonts w:ascii="Times-New-Roman" w:hAnsi="Times-New-Roman" w:cs="Times-New-Roman"/>
              </w:rPr>
              <w:t>svetla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1D45F2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3302" w:rsidRPr="00A4469C" w:rsidRDefault="00F63302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Default="00F63302" w:rsidP="001D45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Držati kontejner čvrsto zatvo</w:t>
            </w:r>
            <w:r w:rsidR="00EC2B94">
              <w:rPr>
                <w:rFonts w:ascii="Times-New-Roman" w:hAnsi="Times-New-Roman" w:cs="Times-New-Roman"/>
              </w:rPr>
              <w:t>renim i suvim</w:t>
            </w:r>
            <w:proofErr w:type="gramStart"/>
            <w:r w:rsidR="00EC2B94">
              <w:rPr>
                <w:rFonts w:ascii="Times-New-Roman" w:hAnsi="Times-New-Roman" w:cs="Times-New-Roman"/>
              </w:rPr>
              <w:t>,  na</w:t>
            </w:r>
            <w:proofErr w:type="gramEnd"/>
            <w:r w:rsidR="00EC2B94">
              <w:rPr>
                <w:rFonts w:ascii="Times-New-Roman" w:hAnsi="Times-New-Roman" w:cs="Times-New-Roman"/>
              </w:rPr>
              <w:t xml:space="preserve"> temperaturama         </w:t>
            </w:r>
            <w:r>
              <w:rPr>
                <w:rFonts w:ascii="Times New Roman" w:hAnsi="Times New Roman" w:cs="Times New Roman"/>
              </w:rPr>
              <w:t xml:space="preserve">&lt; </w:t>
            </w:r>
            <w:r w:rsidR="00A153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 w:rsidR="00EC2B94">
              <w:rPr>
                <w:rFonts w:ascii="Times-New-Roman,Bold" w:hAnsi="Times-New-Roman,Bold" w:cs="Times-New-Roman,Bold"/>
                <w:bCs/>
              </w:rPr>
              <w:t xml:space="preserve">. </w:t>
            </w:r>
            <w:r w:rsidR="00A15368">
              <w:rPr>
                <w:rFonts w:ascii="Times-New-Roman,Bold" w:hAnsi="Times-New-Roman,Bold" w:cs="Times-New-Roman,Bold"/>
                <w:bCs/>
              </w:rPr>
              <w:t xml:space="preserve">Ne postoje nikakve posebne zabrane što se tiče skladištenja sa ostalim </w:t>
            </w:r>
            <w:r w:rsidR="00DD10C3">
              <w:rPr>
                <w:rFonts w:ascii="Times-New-Roman,Bold" w:hAnsi="Times-New-Roman,Bold" w:cs="Times-New-Roman,Bold"/>
                <w:bCs/>
              </w:rPr>
              <w:t>proizvodima</w:t>
            </w:r>
            <w:r w:rsidR="00A15368">
              <w:rPr>
                <w:rFonts w:ascii="Times-New-Roman,Bold" w:hAnsi="Times-New-Roman,Bold" w:cs="Times-New-Roman,Bold"/>
                <w:bCs/>
              </w:rPr>
              <w:t xml:space="preserve">. </w:t>
            </w:r>
          </w:p>
        </w:tc>
      </w:tr>
    </w:tbl>
    <w:p w:rsidR="001D45F2" w:rsidRPr="002C21D4" w:rsidRDefault="001D45F2" w:rsidP="001D45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β-Carotene 10%)</w:t>
      </w:r>
    </w:p>
    <w:p w:rsidR="001D45F2" w:rsidRPr="002C21D4" w:rsidRDefault="001D45F2" w:rsidP="001D45F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203EA8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D45F2" w:rsidRDefault="001D45F2" w:rsidP="001D45F2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318"/>
        <w:gridCol w:w="2025"/>
        <w:gridCol w:w="316"/>
        <w:gridCol w:w="1200"/>
        <w:gridCol w:w="1901"/>
        <w:gridCol w:w="1311"/>
        <w:gridCol w:w="1903"/>
      </w:tblGrid>
      <w:tr w:rsidR="00F63302" w:rsidTr="00953BC8">
        <w:trPr>
          <w:trHeight w:val="70"/>
          <w:jc w:val="center"/>
        </w:trPr>
        <w:tc>
          <w:tcPr>
            <w:tcW w:w="469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- Ambalažni materijali:</w:t>
            </w:r>
          </w:p>
        </w:tc>
        <w:tc>
          <w:tcPr>
            <w:tcW w:w="6315" w:type="dxa"/>
            <w:gridSpan w:val="4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953BC8">
        <w:trPr>
          <w:trHeight w:val="80"/>
          <w:jc w:val="center"/>
        </w:trPr>
        <w:tc>
          <w:tcPr>
            <w:tcW w:w="4691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953BC8">
        <w:trPr>
          <w:trHeight w:val="80"/>
          <w:jc w:val="center"/>
        </w:trPr>
        <w:tc>
          <w:tcPr>
            <w:tcW w:w="4691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F63302" w:rsidTr="00953BC8">
        <w:trPr>
          <w:trHeight w:val="206"/>
          <w:jc w:val="center"/>
        </w:trPr>
        <w:tc>
          <w:tcPr>
            <w:tcW w:w="11006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EC2B94" w:rsidTr="00243877">
        <w:trPr>
          <w:trHeight w:val="465"/>
          <w:jc w:val="center"/>
        </w:trPr>
        <w:tc>
          <w:tcPr>
            <w:tcW w:w="11006" w:type="dxa"/>
            <w:gridSpan w:val="8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C2B94" w:rsidRPr="00A4469C" w:rsidRDefault="00EC2B94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EC2B94" w:rsidRPr="00A4469C" w:rsidTr="004875A3">
        <w:trPr>
          <w:trHeight w:val="50"/>
          <w:jc w:val="center"/>
        </w:trPr>
        <w:tc>
          <w:tcPr>
            <w:tcW w:w="203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186345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86345">
              <w:rPr>
                <w:rFonts w:ascii="Times New Roman" w:hAnsi="Times New Roman" w:cs="Times New Roman"/>
                <w:bCs/>
              </w:rPr>
              <w:t>Komponenta</w:t>
            </w:r>
          </w:p>
        </w:tc>
        <w:tc>
          <w:tcPr>
            <w:tcW w:w="23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186345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86345">
              <w:rPr>
                <w:rFonts w:ascii="Times New Roman" w:hAnsi="Times New Roman" w:cs="Times New Roman"/>
                <w:bCs/>
              </w:rPr>
              <w:t>CAS broj</w:t>
            </w:r>
          </w:p>
        </w:tc>
        <w:tc>
          <w:tcPr>
            <w:tcW w:w="15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186345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Vrednost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186345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Parametar kontrole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D860C3" w:rsidRDefault="00D860C3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60C3">
              <w:rPr>
                <w:rFonts w:ascii="Times New Roman" w:hAnsi="Times New Roman" w:cs="Times New Roman"/>
              </w:rPr>
              <w:t>Ažurirano</w:t>
            </w:r>
          </w:p>
        </w:tc>
        <w:tc>
          <w:tcPr>
            <w:tcW w:w="19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2B94" w:rsidRPr="00186345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Osnova</w:t>
            </w:r>
          </w:p>
        </w:tc>
      </w:tr>
      <w:tr w:rsidR="00BC048F" w:rsidRPr="00A4469C" w:rsidTr="004875A3">
        <w:trPr>
          <w:trHeight w:val="70"/>
          <w:jc w:val="center"/>
        </w:trPr>
        <w:tc>
          <w:tcPr>
            <w:tcW w:w="2032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C048F" w:rsidRPr="00186345" w:rsidRDefault="00BC048F" w:rsidP="00A1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skrob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F" w:rsidRPr="00186345" w:rsidRDefault="00BC048F" w:rsidP="00A1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186345">
              <w:rPr>
                <w:rFonts w:ascii="Times New Roman" w:hAnsi="Times New Roman" w:cs="Times New Roman"/>
                <w:bCs/>
                <w:lang w:val="de-DE"/>
              </w:rPr>
              <w:t>9005-25-8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F" w:rsidRPr="00186345" w:rsidRDefault="00BC048F" w:rsidP="00A1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F" w:rsidRPr="00186345" w:rsidRDefault="00BC048F" w:rsidP="00A1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10 mg/m</w:t>
            </w:r>
            <w:r w:rsidRPr="0018634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F" w:rsidRPr="00186345" w:rsidRDefault="00BC048F" w:rsidP="00A1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BC048F" w:rsidRPr="00186345" w:rsidRDefault="00BC048F" w:rsidP="00A1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GB EH40</w:t>
            </w:r>
          </w:p>
        </w:tc>
      </w:tr>
      <w:tr w:rsidR="00EC2B94" w:rsidRPr="00147F3F" w:rsidTr="00953BC8">
        <w:trPr>
          <w:trHeight w:val="1088"/>
          <w:jc w:val="center"/>
        </w:trPr>
        <w:tc>
          <w:tcPr>
            <w:tcW w:w="20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186345" w:rsidRDefault="00EC2B94" w:rsidP="00953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86345">
              <w:rPr>
                <w:rFonts w:ascii="Times New Roman" w:hAnsi="Times New Roman" w:cs="Times New Roman"/>
                <w:bCs/>
              </w:rPr>
              <w:t>Dodatne informacije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186345" w:rsidRDefault="00953BC8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24B27" w:rsidRPr="00186345" w:rsidRDefault="001D45F2" w:rsidP="00A063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42: </w:t>
            </w:r>
            <w:r w:rsidR="00EC2B94" w:rsidRPr="00186345">
              <w:rPr>
                <w:rFonts w:ascii="Times New Roman" w:hAnsi="Times New Roman" w:cs="Times New Roman"/>
              </w:rPr>
              <w:t>Po COSHH definiciji u supstance opasne po zdravlje ubraja se svaka prašina koja je u vazduhu prosutna u koncentraciji ≥ 10 mg/m</w:t>
            </w:r>
            <w:r w:rsidR="00EC2B94" w:rsidRPr="00186345">
              <w:rPr>
                <w:rFonts w:ascii="Times New Roman" w:hAnsi="Times New Roman" w:cs="Times New Roman"/>
                <w:vertAlign w:val="superscript"/>
              </w:rPr>
              <w:t>3</w:t>
            </w:r>
            <w:r w:rsidR="00EC2B94" w:rsidRPr="00186345">
              <w:rPr>
                <w:rFonts w:ascii="Times New Roman" w:hAnsi="Times New Roman" w:cs="Times New Roman"/>
              </w:rPr>
              <w:t xml:space="preserve"> u toku 8 sati- prašina koja se može udahnuti, ili 4mg/m</w:t>
            </w:r>
            <w:r w:rsidR="00EC2B94" w:rsidRPr="00186345">
              <w:rPr>
                <w:rFonts w:ascii="Times New Roman" w:hAnsi="Times New Roman" w:cs="Times New Roman"/>
                <w:vertAlign w:val="superscript"/>
              </w:rPr>
              <w:t>3</w:t>
            </w:r>
            <w:r w:rsidR="00EC2B94" w:rsidRPr="00186345">
              <w:rPr>
                <w:rFonts w:ascii="Times New Roman" w:hAnsi="Times New Roman" w:cs="Times New Roman"/>
              </w:rPr>
              <w:t xml:space="preserve"> u toku 8 sati respiratorne prašine. Ovo znači da će svaka prašina biti predmet COSHH ako su ljudi izloženi koncentraciji većoj od ovih. Mere o kontroli izloženosti su prikazane u EH44 i velika većina radnih mesta kod kojih su propisane ove mere će se držati ovih granica što se tiče izloženosti. Međutim </w:t>
            </w:r>
            <w:r>
              <w:rPr>
                <w:rFonts w:ascii="Times New Roman" w:hAnsi="Times New Roman" w:cs="Times New Roman"/>
              </w:rPr>
              <w:t>ako je</w:t>
            </w:r>
            <w:r w:rsidR="00EC2B94" w:rsidRPr="00186345">
              <w:rPr>
                <w:rFonts w:ascii="Times New Roman" w:hAnsi="Times New Roman" w:cs="Times New Roman"/>
              </w:rPr>
              <w:t xml:space="preserve"> prašini dodeljena oznaka WEL izlaganje mora biti ispod propisane granice.</w:t>
            </w:r>
          </w:p>
        </w:tc>
      </w:tr>
      <w:tr w:rsidR="00243877" w:rsidRPr="00147F3F" w:rsidTr="004875A3">
        <w:trPr>
          <w:trHeight w:val="70"/>
          <w:jc w:val="center"/>
        </w:trPr>
        <w:tc>
          <w:tcPr>
            <w:tcW w:w="203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877" w:rsidRPr="00186345" w:rsidRDefault="00243877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877" w:rsidRPr="00186345" w:rsidRDefault="00243877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877" w:rsidRPr="00186345" w:rsidRDefault="00243877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877" w:rsidRPr="00186345" w:rsidRDefault="00243877" w:rsidP="00EC2B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4 mg/m</w:t>
            </w:r>
            <w:r w:rsidRPr="0018634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877" w:rsidRPr="00186345" w:rsidRDefault="00243877" w:rsidP="00BA07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43877" w:rsidRPr="00186345" w:rsidRDefault="00243877" w:rsidP="00BA07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GB EH40</w:t>
            </w:r>
          </w:p>
        </w:tc>
      </w:tr>
      <w:tr w:rsidR="00953BC8" w:rsidRPr="00147F3F" w:rsidTr="00275858">
        <w:trPr>
          <w:trHeight w:val="70"/>
          <w:jc w:val="center"/>
        </w:trPr>
        <w:tc>
          <w:tcPr>
            <w:tcW w:w="203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BC8" w:rsidRPr="005E4EBC" w:rsidRDefault="00953BC8" w:rsidP="008C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897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3BC8" w:rsidRPr="00186345" w:rsidRDefault="00953BC8" w:rsidP="00BA07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  <w:bCs/>
              </w:rPr>
              <w:t>disanjem</w:t>
            </w:r>
          </w:p>
        </w:tc>
      </w:tr>
      <w:tr w:rsidR="00953BC8" w:rsidRPr="00147F3F" w:rsidTr="004875A3">
        <w:trPr>
          <w:trHeight w:val="64"/>
          <w:jc w:val="center"/>
        </w:trPr>
        <w:tc>
          <w:tcPr>
            <w:tcW w:w="203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BC8" w:rsidRPr="00186345" w:rsidRDefault="00953BC8" w:rsidP="00953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sucrose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BC8" w:rsidRPr="00186345" w:rsidRDefault="00953BC8" w:rsidP="00953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57-50-1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BC8" w:rsidRPr="00186345" w:rsidRDefault="00953BC8" w:rsidP="00953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BC8" w:rsidRPr="00186345" w:rsidRDefault="00953BC8" w:rsidP="00953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186345">
              <w:rPr>
                <w:rFonts w:ascii="Times New Roman" w:hAnsi="Times New Roman" w:cs="Times New Roman"/>
              </w:rPr>
              <w:t xml:space="preserve"> mg/m</w:t>
            </w:r>
            <w:r w:rsidRPr="0018634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BC8" w:rsidRPr="00186345" w:rsidRDefault="00953BC8" w:rsidP="00953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3BC8" w:rsidRPr="00186345" w:rsidRDefault="00953BC8" w:rsidP="00953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GB EH40</w:t>
            </w:r>
          </w:p>
        </w:tc>
      </w:tr>
      <w:tr w:rsidR="00953BC8" w:rsidRPr="00147F3F" w:rsidTr="004875A3">
        <w:trPr>
          <w:trHeight w:val="44"/>
          <w:jc w:val="center"/>
        </w:trPr>
        <w:tc>
          <w:tcPr>
            <w:tcW w:w="203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BC8" w:rsidRDefault="00953BC8" w:rsidP="00A71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BC8" w:rsidRDefault="00953BC8" w:rsidP="00953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BC8" w:rsidRPr="00186345" w:rsidRDefault="00953BC8" w:rsidP="008C5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BC8" w:rsidRPr="00186345" w:rsidRDefault="00953BC8" w:rsidP="008C5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86345">
              <w:rPr>
                <w:rFonts w:ascii="Times New Roman" w:hAnsi="Times New Roman" w:cs="Times New Roman"/>
              </w:rPr>
              <w:t xml:space="preserve"> mg/m</w:t>
            </w:r>
            <w:r w:rsidRPr="0018634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BC8" w:rsidRPr="00186345" w:rsidRDefault="00953BC8" w:rsidP="008C5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3BC8" w:rsidRPr="00186345" w:rsidRDefault="00953BC8" w:rsidP="008C5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GB EH40</w:t>
            </w:r>
          </w:p>
        </w:tc>
      </w:tr>
      <w:tr w:rsidR="00953BC8" w:rsidRPr="00147F3F" w:rsidTr="004A757B">
        <w:trPr>
          <w:trHeight w:val="64"/>
          <w:jc w:val="center"/>
        </w:trPr>
        <w:tc>
          <w:tcPr>
            <w:tcW w:w="11006" w:type="dxa"/>
            <w:gridSpan w:val="8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3BC8" w:rsidRPr="00186345" w:rsidRDefault="00953BC8" w:rsidP="002438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3BC8" w:rsidRPr="00147F3F" w:rsidTr="004875A3">
        <w:trPr>
          <w:trHeight w:val="64"/>
          <w:jc w:val="center"/>
        </w:trPr>
        <w:tc>
          <w:tcPr>
            <w:tcW w:w="20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8" w:rsidRPr="00186345" w:rsidRDefault="00953BC8" w:rsidP="008C5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86345">
              <w:rPr>
                <w:rFonts w:ascii="Times New Roman" w:hAnsi="Times New Roman" w:cs="Times New Roman"/>
                <w:bCs/>
              </w:rPr>
              <w:t>Komponenta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8" w:rsidRPr="00186345" w:rsidRDefault="00953BC8" w:rsidP="008C5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86345">
              <w:rPr>
                <w:rFonts w:ascii="Times New Roman" w:hAnsi="Times New Roman" w:cs="Times New Roman"/>
                <w:bCs/>
              </w:rPr>
              <w:t>CAS broj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8" w:rsidRPr="00186345" w:rsidRDefault="00953BC8" w:rsidP="008C5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Vrednost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8" w:rsidRPr="00186345" w:rsidRDefault="00953BC8" w:rsidP="008C5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Parametar kontrole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8" w:rsidRPr="00D860C3" w:rsidRDefault="00D860C3" w:rsidP="008C5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60C3">
              <w:rPr>
                <w:rFonts w:ascii="Times New Roman" w:hAnsi="Times New Roman" w:cs="Times New Roman"/>
              </w:rPr>
              <w:t>Ažurirano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3BC8" w:rsidRPr="00186345" w:rsidRDefault="00953BC8" w:rsidP="008C5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Osnova</w:t>
            </w:r>
          </w:p>
        </w:tc>
      </w:tr>
      <w:tr w:rsidR="00953BC8" w:rsidRPr="00147F3F" w:rsidTr="004875A3">
        <w:trPr>
          <w:trHeight w:val="64"/>
          <w:jc w:val="center"/>
        </w:trPr>
        <w:tc>
          <w:tcPr>
            <w:tcW w:w="203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BC8" w:rsidRPr="00D9076B" w:rsidRDefault="00953BC8" w:rsidP="008C5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</w:t>
            </w:r>
            <w:r w:rsidRPr="00D9076B">
              <w:rPr>
                <w:rFonts w:ascii="Times New Roman" w:hAnsi="Times New Roman" w:cs="Times New Roman"/>
              </w:rPr>
              <w:t>,β-carotene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BC8" w:rsidRPr="00D9076B" w:rsidRDefault="00953BC8" w:rsidP="008C5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D9076B">
              <w:rPr>
                <w:rFonts w:ascii="Times New Roman" w:hAnsi="Times New Roman" w:cs="Times New Roman"/>
                <w:bCs/>
                <w:lang w:val="de-DE"/>
              </w:rPr>
              <w:t>7235-40-7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BC8" w:rsidRPr="00186345" w:rsidRDefault="00953BC8" w:rsidP="008C5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BC8" w:rsidRPr="00186345" w:rsidRDefault="00953BC8" w:rsidP="00953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186345">
              <w:rPr>
                <w:rFonts w:ascii="Times New Roman" w:hAnsi="Times New Roman" w:cs="Times New Roman"/>
              </w:rPr>
              <w:t xml:space="preserve"> mg/m</w:t>
            </w:r>
            <w:r w:rsidRPr="0018634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BC8" w:rsidRPr="00186345" w:rsidRDefault="00953BC8" w:rsidP="008C5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3BC8" w:rsidRPr="00186345" w:rsidRDefault="004875A3" w:rsidP="00953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C03">
              <w:rPr>
                <w:rFonts w:ascii="Times New Roman" w:hAnsi="Times New Roman" w:cs="Times New Roman"/>
              </w:rPr>
              <w:t xml:space="preserve">DSM–interna granična </w:t>
            </w:r>
            <w:r>
              <w:rPr>
                <w:rFonts w:ascii="Times New Roman" w:hAnsi="Times New Roman" w:cs="Times New Roman"/>
              </w:rPr>
              <w:t>v</w:t>
            </w:r>
            <w:r w:rsidRPr="00CD1C03">
              <w:rPr>
                <w:rFonts w:ascii="Times New Roman" w:hAnsi="Times New Roman" w:cs="Times New Roman"/>
              </w:rPr>
              <w:t>rednost</w:t>
            </w:r>
            <w:bookmarkStart w:id="0" w:name="_GoBack"/>
            <w:bookmarkEnd w:id="0"/>
          </w:p>
        </w:tc>
      </w:tr>
      <w:tr w:rsidR="00953BC8" w:rsidTr="00243877">
        <w:trPr>
          <w:trHeight w:val="70"/>
          <w:jc w:val="center"/>
        </w:trPr>
        <w:tc>
          <w:tcPr>
            <w:tcW w:w="4691" w:type="dxa"/>
            <w:gridSpan w:val="4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53BC8" w:rsidRDefault="00953BC8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315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53BC8" w:rsidRDefault="00953BC8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953BC8" w:rsidTr="00BC048F">
        <w:trPr>
          <w:trHeight w:val="162"/>
          <w:jc w:val="center"/>
        </w:trPr>
        <w:tc>
          <w:tcPr>
            <w:tcW w:w="4691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53BC8" w:rsidRPr="00A4469C" w:rsidRDefault="00953BC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53BC8" w:rsidRPr="00A4469C" w:rsidRDefault="00953BC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953BC8" w:rsidTr="00BC048F">
        <w:trPr>
          <w:trHeight w:val="80"/>
          <w:jc w:val="center"/>
        </w:trPr>
        <w:tc>
          <w:tcPr>
            <w:tcW w:w="4691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8" w:rsidRPr="00A4469C" w:rsidRDefault="00953BC8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53BC8" w:rsidRPr="00A4469C" w:rsidRDefault="00953BC8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953BC8" w:rsidTr="00BC048F">
        <w:trPr>
          <w:trHeight w:val="70"/>
          <w:jc w:val="center"/>
        </w:trPr>
        <w:tc>
          <w:tcPr>
            <w:tcW w:w="4691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953BC8" w:rsidRPr="00A4469C" w:rsidRDefault="00953BC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953BC8" w:rsidRPr="00A4469C" w:rsidRDefault="00953BC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953BC8" w:rsidTr="00BC048F">
        <w:trPr>
          <w:trHeight w:val="80"/>
          <w:jc w:val="center"/>
        </w:trPr>
        <w:tc>
          <w:tcPr>
            <w:tcW w:w="4691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53BC8" w:rsidRPr="00A4469C" w:rsidRDefault="00953BC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53BC8" w:rsidRPr="00A4469C" w:rsidRDefault="00953BC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953BC8" w:rsidTr="00953BC8">
        <w:trPr>
          <w:trHeight w:val="465"/>
          <w:jc w:val="center"/>
        </w:trPr>
        <w:tc>
          <w:tcPr>
            <w:tcW w:w="4691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53BC8" w:rsidRPr="00A4469C" w:rsidRDefault="00953BC8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53BC8" w:rsidRPr="00A4469C" w:rsidRDefault="00953BC8" w:rsidP="00953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Nikakva posebna oprema za zaštitu respiratornih organa nije neophodna pri normalnim uslovima. U slučaju velike koncentracije prašine koristiti masku primenjivu u datim uslovima.</w:t>
            </w:r>
          </w:p>
        </w:tc>
      </w:tr>
      <w:tr w:rsidR="004C7BA4" w:rsidTr="00953BC8">
        <w:trPr>
          <w:trHeight w:val="25"/>
          <w:jc w:val="center"/>
        </w:trPr>
        <w:tc>
          <w:tcPr>
            <w:tcW w:w="4691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953BC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953BC8" w:rsidP="00953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 slučaju dužeg ili učestalog kontakta koristiti zaštitne rukavice, </w:t>
            </w:r>
            <w:r w:rsidR="004C7BA4">
              <w:rPr>
                <w:rFonts w:ascii="Times-New-Roman" w:hAnsi="Times-New-Roman" w:cs="Times-New-Roman"/>
                <w:lang w:val="de-DE"/>
              </w:rPr>
              <w:t>npr.</w:t>
            </w:r>
            <w:r>
              <w:rPr>
                <w:rFonts w:ascii="Times-New-Roman" w:hAnsi="Times-New-Roman" w:cs="Times-New-Roman"/>
                <w:lang w:val="de-DE"/>
              </w:rPr>
              <w:t xml:space="preserve"> od</w:t>
            </w:r>
            <w:r w:rsidR="004C7BA4">
              <w:rPr>
                <w:rFonts w:ascii="Times-New-Roman" w:hAnsi="Times-New-Roman" w:cs="Times-New-Roman"/>
                <w:lang w:val="de-DE"/>
              </w:rPr>
              <w:t xml:space="preserve"> nitriln</w:t>
            </w:r>
            <w:r>
              <w:rPr>
                <w:rFonts w:ascii="Times-New-Roman" w:hAnsi="Times-New-Roman" w:cs="Times-New-Roman"/>
                <w:lang w:val="de-DE"/>
              </w:rPr>
              <w:t>e</w:t>
            </w:r>
            <w:r w:rsidR="004C7BA4">
              <w:rPr>
                <w:rFonts w:ascii="Times-New-Roman" w:hAnsi="Times-New-Roman" w:cs="Times-New-Roman"/>
                <w:lang w:val="de-DE"/>
              </w:rPr>
              <w:t xml:space="preserve"> gum</w:t>
            </w:r>
            <w:r>
              <w:rPr>
                <w:rFonts w:ascii="Times-New-Roman" w:hAnsi="Times-New-Roman" w:cs="Times-New-Roman"/>
                <w:lang w:val="de-DE"/>
              </w:rPr>
              <w:t>e</w:t>
            </w:r>
            <w:r w:rsidR="004C7BA4">
              <w:rPr>
                <w:rFonts w:ascii="Times-New-Roman" w:hAnsi="Times-New-Roman" w:cs="Times-New-Roman"/>
                <w:lang w:val="de-DE"/>
              </w:rPr>
              <w:t xml:space="preserve">. </w:t>
            </w:r>
          </w:p>
        </w:tc>
      </w:tr>
      <w:tr w:rsidR="004C7BA4" w:rsidTr="00BC048F">
        <w:trPr>
          <w:trHeight w:val="80"/>
          <w:jc w:val="center"/>
        </w:trPr>
        <w:tc>
          <w:tcPr>
            <w:tcW w:w="4691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AC627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AC62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naočare.</w:t>
            </w:r>
          </w:p>
        </w:tc>
      </w:tr>
      <w:tr w:rsidR="009C50E8" w:rsidTr="00BC048F">
        <w:trPr>
          <w:trHeight w:val="465"/>
          <w:jc w:val="center"/>
        </w:trPr>
        <w:tc>
          <w:tcPr>
            <w:tcW w:w="4691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AC627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243877" w:rsidP="00AC62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zaštitno odelo</w:t>
            </w:r>
            <w:r w:rsidR="009C50E8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C50E8" w:rsidTr="00BC048F">
        <w:trPr>
          <w:trHeight w:val="80"/>
          <w:jc w:val="center"/>
        </w:trPr>
        <w:tc>
          <w:tcPr>
            <w:tcW w:w="4691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A4469C" w:rsidRDefault="009C50E8" w:rsidP="002438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Upravljati se u skladu sa principima održavanja higijene i primene bezbednosnih mera na radnom mestu. </w:t>
            </w:r>
          </w:p>
        </w:tc>
      </w:tr>
      <w:tr w:rsidR="009C50E8" w:rsidTr="00BC048F">
        <w:trPr>
          <w:trHeight w:val="70"/>
          <w:jc w:val="center"/>
        </w:trPr>
        <w:tc>
          <w:tcPr>
            <w:tcW w:w="4691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9C50E8" w:rsidTr="00953BC8">
        <w:trPr>
          <w:trHeight w:val="80"/>
          <w:jc w:val="center"/>
        </w:trPr>
        <w:tc>
          <w:tcPr>
            <w:tcW w:w="4691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C50E8" w:rsidRPr="00A4469C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C50E8" w:rsidRPr="00DC4F00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953BC8" w:rsidRPr="002C21D4" w:rsidRDefault="00953BC8" w:rsidP="00953B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β-Carotene 10%)</w:t>
      </w:r>
    </w:p>
    <w:p w:rsidR="00953BC8" w:rsidRPr="002C21D4" w:rsidRDefault="00953BC8" w:rsidP="00953BC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203EA8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953BC8" w:rsidRDefault="00953BC8" w:rsidP="00953BC8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1"/>
        <w:gridCol w:w="451"/>
        <w:gridCol w:w="900"/>
        <w:gridCol w:w="5414"/>
      </w:tblGrid>
      <w:tr w:rsidR="0028690C" w:rsidTr="00FE760C">
        <w:trPr>
          <w:trHeight w:val="351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8690C" w:rsidRPr="00074FD9" w:rsidRDefault="0028690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9. FIZIČKA I HEMIJSKA SVOJSTVA</w:t>
            </w:r>
          </w:p>
        </w:tc>
      </w:tr>
      <w:tr w:rsidR="0028690C" w:rsidTr="00FE760C">
        <w:trPr>
          <w:trHeight w:val="70"/>
          <w:jc w:val="center"/>
        </w:trPr>
        <w:tc>
          <w:tcPr>
            <w:tcW w:w="4692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8690C" w:rsidTr="00FE760C">
        <w:trPr>
          <w:trHeight w:val="80"/>
          <w:jc w:val="center"/>
        </w:trPr>
        <w:tc>
          <w:tcPr>
            <w:tcW w:w="4692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28690C" w:rsidP="00AC627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obliku </w:t>
            </w:r>
            <w:r w:rsidR="00AC627F">
              <w:rPr>
                <w:rFonts w:ascii="Times-New-Roman" w:hAnsi="Times-New-Roman" w:cs="Times-New-Roman"/>
              </w:rPr>
              <w:t>slobodnih čestica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28690C" w:rsidTr="00FE760C">
        <w:trPr>
          <w:trHeight w:val="355"/>
          <w:jc w:val="center"/>
        </w:trPr>
        <w:tc>
          <w:tcPr>
            <w:tcW w:w="4692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A71C5D" w:rsidP="00953BC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Braon</w:t>
            </w:r>
            <w:r w:rsidR="00953BC8">
              <w:rPr>
                <w:rFonts w:ascii="Times-New-Roman" w:hAnsi="Times-New-Roman" w:cs="Times-New-Roman"/>
              </w:rPr>
              <w:t>kasto-</w:t>
            </w:r>
            <w:r w:rsidR="00AC627F">
              <w:rPr>
                <w:rFonts w:ascii="Times-New-Roman" w:hAnsi="Times-New-Roman" w:cs="Times-New-Roman"/>
              </w:rPr>
              <w:t>crvena</w:t>
            </w:r>
            <w:r w:rsidR="0028690C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28690C" w:rsidTr="00FE760C">
        <w:trPr>
          <w:trHeight w:val="80"/>
          <w:jc w:val="center"/>
        </w:trPr>
        <w:tc>
          <w:tcPr>
            <w:tcW w:w="4692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690C" w:rsidRPr="0032758A" w:rsidRDefault="00AC627F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28690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28690C" w:rsidTr="00FE760C">
        <w:trPr>
          <w:trHeight w:val="288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FE760C">
        <w:trPr>
          <w:trHeight w:val="288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FE760C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953BC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Nije primenjivo.</w:t>
            </w:r>
          </w:p>
        </w:tc>
      </w:tr>
      <w:tr w:rsidR="0028690C" w:rsidTr="00FE760C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FE760C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FE760C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FE760C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FE760C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32758A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28690C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28690C">
              <w:rPr>
                <w:rFonts w:ascii="Times-New-Roman" w:hAnsi="Times-New-Roman" w:cs="Times-New-Roman"/>
                <w:color w:val="000000"/>
              </w:rPr>
              <w:t>m</w:t>
            </w:r>
            <w:r w:rsidR="0028690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AC627F" w:rsidP="006228A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FE760C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8690C" w:rsidTr="00FE760C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AC627F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FE760C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203EA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28690C" w:rsidTr="00FE760C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FE760C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FE760C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FE760C">
        <w:trPr>
          <w:trHeight w:val="20"/>
          <w:jc w:val="center"/>
        </w:trPr>
        <w:tc>
          <w:tcPr>
            <w:tcW w:w="4241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28690C" w:rsidTr="00FE760C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FE760C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FE760C">
        <w:trPr>
          <w:trHeight w:val="8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FE760C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FE760C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FE760C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228A1" w:rsidRPr="00A4469C" w:rsidTr="00FE760C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6228A1" w:rsidRPr="00A4469C" w:rsidRDefault="006228A1" w:rsidP="00A17F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Indeks zapaljivosti deponovane prašine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28A1" w:rsidRPr="00A4469C" w:rsidRDefault="006228A1" w:rsidP="00A17F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28A1" w:rsidRPr="00A4469C" w:rsidRDefault="00AC627F" w:rsidP="00AC62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3</w:t>
            </w:r>
            <w:r w:rsidR="006228A1">
              <w:rPr>
                <w:rFonts w:ascii="Times-New-Roman" w:hAnsi="Times-New-Roman" w:cs="Times-New-Roman"/>
                <w:lang w:val="de-DE"/>
              </w:rPr>
              <w:t xml:space="preserve"> (2</w:t>
            </w:r>
            <w:r>
              <w:rPr>
                <w:rFonts w:ascii="Times-New-Roman" w:hAnsi="Times-New-Roman" w:cs="Times-New-Roman"/>
                <w:lang w:val="de-DE"/>
              </w:rPr>
              <w:t>1</w:t>
            </w:r>
            <w:r w:rsidR="006228A1"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</w:tc>
      </w:tr>
      <w:tr w:rsidR="00FE760C" w:rsidRPr="00A4469C" w:rsidTr="00FE760C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E760C" w:rsidRDefault="00FE760C" w:rsidP="008C5C9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 eksplozivnosti prašine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760C" w:rsidRPr="00A4469C" w:rsidRDefault="00FE760C" w:rsidP="008C5C9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760C" w:rsidRDefault="00FE760C" w:rsidP="00FE76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St(H)1 (samleveni uzorak; vrednost je određena primenom modifikovane Hartmanove cevi)</w:t>
            </w:r>
          </w:p>
        </w:tc>
      </w:tr>
      <w:tr w:rsidR="00FE760C" w:rsidTr="00FE760C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FE760C" w:rsidRDefault="00FE760C" w:rsidP="00A17F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temperatura paljenja mešavine prašina/vazduh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E760C" w:rsidRPr="00A4469C" w:rsidRDefault="00FE760C" w:rsidP="00A17F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E760C" w:rsidRDefault="00FE760C" w:rsidP="00FE760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ca.</w:t>
            </w:r>
            <w:r>
              <w:rPr>
                <w:rFonts w:ascii="Times-New-Roman" w:hAnsi="Times-New-Roman" w:cs="Times-New-Roman"/>
                <w:lang w:val="de-DE"/>
              </w:rPr>
              <w:t xml:space="preserve"> 420</w:t>
            </w:r>
            <w:r w:rsidRPr="006228A1">
              <w:rPr>
                <w:rFonts w:ascii="Times-New-Roman" w:hAnsi="Times-New-Roman" w:cs="Times-New-Roman"/>
                <w:lang w:val="de-DE"/>
              </w:rPr>
              <w:t>°C (</w:t>
            </w:r>
            <w:r>
              <w:rPr>
                <w:rFonts w:ascii="Times-New-Roman" w:hAnsi="Times-New-Roman" w:cs="Times-New-Roman"/>
                <w:lang w:val="de-DE"/>
              </w:rPr>
              <w:t xml:space="preserve">uzorak proizvoda, </w:t>
            </w:r>
            <w:r w:rsidRPr="006228A1">
              <w:rPr>
                <w:rFonts w:ascii="Times-New-Roman" w:hAnsi="Times-New-Roman" w:cs="Times-New-Roman"/>
                <w:lang w:val="de-DE"/>
              </w:rPr>
              <w:t>određena u BAM pećnici)</w:t>
            </w:r>
          </w:p>
        </w:tc>
      </w:tr>
    </w:tbl>
    <w:p w:rsidR="00FE760C" w:rsidRDefault="00FE760C" w:rsidP="00FE76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E760C" w:rsidRDefault="00FE760C" w:rsidP="00FE76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E760C" w:rsidRPr="002C21D4" w:rsidRDefault="00FE760C" w:rsidP="00FE76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β-Carotene 10%)</w:t>
      </w:r>
    </w:p>
    <w:p w:rsidR="00FE760C" w:rsidRPr="002C21D4" w:rsidRDefault="00FE760C" w:rsidP="00FE760C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203EA8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FE760C" w:rsidRDefault="00FE760C" w:rsidP="00FE760C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6223"/>
      </w:tblGrid>
      <w:tr w:rsidR="00FE760C" w:rsidTr="00FE760C">
        <w:trPr>
          <w:trHeight w:val="45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E760C" w:rsidRPr="00F103C0" w:rsidRDefault="00FE760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10. STABILNOST I REAKTIVNOST</w:t>
            </w:r>
          </w:p>
        </w:tc>
      </w:tr>
      <w:tr w:rsidR="00FE760C" w:rsidTr="00FE760C">
        <w:trPr>
          <w:trHeight w:val="458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E760C" w:rsidRPr="00FE760C" w:rsidRDefault="00FE760C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E760C">
              <w:rPr>
                <w:rFonts w:ascii="Times New Roman" w:hAnsi="Times New Roman" w:cs="Times New Roman"/>
                <w:bCs/>
                <w:lang w:val="de-DE"/>
              </w:rPr>
              <w:t>Proizvod je stabilan pri propisanim uslovima. Prašina može stvoriti eksplozivnu mešavinu sa vazduhom.</w:t>
            </w:r>
          </w:p>
        </w:tc>
      </w:tr>
      <w:tr w:rsidR="00FE760C" w:rsidTr="004267BB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760C" w:rsidRPr="00A4469C" w:rsidRDefault="00FE760C" w:rsidP="000943B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760C" w:rsidRPr="00A4469C" w:rsidRDefault="00FE760C" w:rsidP="008C5C92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Toplota. </w:t>
            </w:r>
          </w:p>
        </w:tc>
      </w:tr>
      <w:tr w:rsidR="00FE760C" w:rsidTr="004267BB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760C" w:rsidRPr="00A4469C" w:rsidRDefault="00FE760C" w:rsidP="000943B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760C" w:rsidRPr="00054A79" w:rsidRDefault="00FE760C" w:rsidP="008C5C92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-Jake kiseline i jake baze. Jaka oksidaciona sredstva.</w:t>
            </w:r>
          </w:p>
        </w:tc>
      </w:tr>
      <w:tr w:rsidR="00FE760C" w:rsidTr="004267BB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760C" w:rsidRPr="00A4469C" w:rsidRDefault="00FE760C" w:rsidP="000943B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760C" w:rsidRPr="00A4469C" w:rsidRDefault="00FE760C" w:rsidP="00FE760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Pri zagrevanju dolazi do raspada proizvoda. Egzotermna opasna reakcija se može desiti. </w:t>
            </w:r>
          </w:p>
        </w:tc>
      </w:tr>
      <w:tr w:rsidR="00FE760C" w:rsidTr="00D1651E">
        <w:trPr>
          <w:trHeight w:val="359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E760C" w:rsidRPr="00F103C0" w:rsidRDefault="00FE760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E760C" w:rsidTr="004267BB">
        <w:trPr>
          <w:trHeight w:val="24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E760C" w:rsidRPr="00A4469C" w:rsidRDefault="00FE760C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E760C" w:rsidRPr="00A4469C" w:rsidRDefault="00FE760C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E760C" w:rsidTr="004267BB">
        <w:trPr>
          <w:trHeight w:val="15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E760C" w:rsidRPr="00FF0DD9" w:rsidRDefault="00FE760C" w:rsidP="008C5C9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F0DD9">
              <w:rPr>
                <w:rFonts w:ascii="Times New Roman" w:hAnsi="Times New Roman" w:cs="Times New Roman"/>
                <w:i/>
              </w:rPr>
              <w:t>Na usta (LD</w:t>
            </w:r>
            <w:r w:rsidRPr="00FF0DD9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FF0DD9">
              <w:rPr>
                <w:rFonts w:ascii="Times New Roman" w:hAnsi="Times New Roman" w:cs="Times New Roman"/>
                <w:i/>
              </w:rPr>
              <w:t xml:space="preserve"> 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E760C" w:rsidRPr="00FF0DD9" w:rsidRDefault="00FE760C" w:rsidP="008C5C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760C" w:rsidTr="004267BB">
        <w:trPr>
          <w:trHeight w:val="15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E760C" w:rsidRPr="00FF0DD9" w:rsidRDefault="00FE760C" w:rsidP="008C5C9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F0DD9">
              <w:rPr>
                <w:rFonts w:ascii="Times New Roman" w:hAnsi="Times New Roman" w:cs="Times New Roman"/>
                <w:i/>
              </w:rPr>
              <w:t>Ethoxyquin: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E760C" w:rsidRPr="00FF0DD9" w:rsidRDefault="00FE760C" w:rsidP="008C5C92">
            <w:pPr>
              <w:spacing w:after="0"/>
              <w:rPr>
                <w:rFonts w:ascii="Times New Roman" w:hAnsi="Times New Roman" w:cs="Times New Roman"/>
              </w:rPr>
            </w:pPr>
            <w:r w:rsidRPr="00FF0DD9">
              <w:rPr>
                <w:rFonts w:ascii="Times New Roman" w:hAnsi="Times New Roman" w:cs="Times New Roman"/>
              </w:rPr>
              <w:t>LD50: 800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DD9">
              <w:rPr>
                <w:rFonts w:ascii="Times New Roman" w:hAnsi="Times New Roman" w:cs="Times New Roman"/>
              </w:rPr>
              <w:t>mg/kg (pacov)</w:t>
            </w:r>
          </w:p>
        </w:tc>
      </w:tr>
      <w:tr w:rsidR="00FE760C" w:rsidTr="004267BB">
        <w:trPr>
          <w:trHeight w:val="13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E760C" w:rsidRPr="00A4469C" w:rsidRDefault="00FE760C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E760C" w:rsidRPr="005252C9" w:rsidRDefault="00FE760C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E760C" w:rsidTr="004267BB">
        <w:trPr>
          <w:trHeight w:val="4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E760C" w:rsidRPr="00A4469C" w:rsidRDefault="00FE760C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E760C" w:rsidRPr="00A4469C" w:rsidRDefault="00FE760C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E760C" w:rsidTr="004267BB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E760C" w:rsidRPr="00A4469C" w:rsidRDefault="00FE760C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E760C" w:rsidRPr="00A4469C" w:rsidRDefault="00FE760C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FE760C" w:rsidTr="004267B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E760C" w:rsidRPr="00A4469C" w:rsidRDefault="00FE760C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E760C" w:rsidRPr="00A4469C" w:rsidRDefault="00FE760C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E760C" w:rsidTr="004267B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E760C" w:rsidRPr="00A4469C" w:rsidRDefault="00FE760C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E760C" w:rsidRPr="00A4469C" w:rsidRDefault="00FE760C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E760C" w:rsidTr="004267BB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E760C" w:rsidRPr="00A4469C" w:rsidRDefault="00FE760C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E760C" w:rsidRPr="00A4469C" w:rsidRDefault="00FE760C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E760C" w:rsidTr="004267BB">
        <w:trPr>
          <w:trHeight w:val="162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E760C" w:rsidRPr="00A4469C" w:rsidRDefault="00FE760C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E760C" w:rsidRPr="00A4469C" w:rsidRDefault="00FE760C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E760C" w:rsidTr="004267BB">
        <w:trPr>
          <w:trHeight w:val="72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E760C" w:rsidRPr="00D1651E" w:rsidRDefault="00FE760C" w:rsidP="00D165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D1651E">
              <w:rPr>
                <w:rFonts w:ascii="Times New Roman" w:hAnsi="Times New Roman" w:cs="Times New Roman"/>
                <w:b/>
                <w:i/>
              </w:rPr>
              <w:t xml:space="preserve">Koža:                                                     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E760C" w:rsidRDefault="00FE760C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Pri dužem kontaktu sa kožom može izazvati iritaciju.</w:t>
            </w:r>
          </w:p>
          <w:p w:rsidR="00FE760C" w:rsidRPr="00A4469C" w:rsidRDefault="00FE760C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Može izazvati obezbojenje kože kod čoveka.</w:t>
            </w:r>
          </w:p>
        </w:tc>
      </w:tr>
      <w:tr w:rsidR="00FE760C" w:rsidTr="004267BB">
        <w:trPr>
          <w:trHeight w:val="45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E760C" w:rsidRPr="00D1651E" w:rsidRDefault="00FE760C" w:rsidP="00D165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D1651E">
              <w:rPr>
                <w:rFonts w:ascii="Times New Roman" w:hAnsi="Times New Roman" w:cs="Times New Roman"/>
                <w:b/>
                <w:i/>
              </w:rPr>
              <w:t xml:space="preserve">Oči:                                                                 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E760C" w:rsidRPr="00A4469C" w:rsidRDefault="00D1651E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Pri kontaktu sa prašinom može doći do mehaničke iritacije oka.</w:t>
            </w:r>
          </w:p>
        </w:tc>
      </w:tr>
      <w:tr w:rsidR="00FE760C" w:rsidTr="004267B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760C" w:rsidRPr="00D1651E" w:rsidRDefault="00FE760C" w:rsidP="00D165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D1651E">
              <w:rPr>
                <w:rFonts w:ascii="Times New Roman" w:hAnsi="Times New Roman" w:cs="Times New Roman"/>
                <w:b/>
                <w:i/>
              </w:rPr>
              <w:t>Disajni putevi: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760C" w:rsidRPr="006E68A5" w:rsidRDefault="00FE760C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color w:val="FF0000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E760C" w:rsidTr="004267BB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E760C" w:rsidRPr="00A4469C" w:rsidRDefault="00FE760C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E760C" w:rsidRPr="00A4469C" w:rsidRDefault="00FE760C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E760C" w:rsidTr="004267B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E760C" w:rsidRDefault="00FE760C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E760C" w:rsidRPr="00A4469C" w:rsidRDefault="00FE760C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E760C" w:rsidTr="004267B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E760C" w:rsidRDefault="00FE760C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E760C" w:rsidRPr="00A4469C" w:rsidRDefault="00FE760C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E760C" w:rsidTr="004267BB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E760C" w:rsidRDefault="00FE760C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E760C" w:rsidRPr="00A4469C" w:rsidRDefault="00FE760C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E760C" w:rsidTr="004267BB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E760C" w:rsidRDefault="00FE760C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E760C" w:rsidRPr="00A4469C" w:rsidRDefault="00FE760C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E760C" w:rsidTr="004267BB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E760C" w:rsidRDefault="00FE760C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E760C" w:rsidRPr="00A4469C" w:rsidRDefault="00FE760C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E760C" w:rsidTr="004267BB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E760C" w:rsidRPr="00A4469C" w:rsidRDefault="00FE760C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E760C" w:rsidRPr="00A4469C" w:rsidRDefault="00FE760C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E760C" w:rsidTr="004267BB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E760C" w:rsidRPr="00A4469C" w:rsidRDefault="00FE760C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E760C" w:rsidRPr="00A4469C" w:rsidRDefault="00FE760C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E760C" w:rsidTr="004267B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E760C" w:rsidRPr="00A4469C" w:rsidRDefault="00FE760C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E760C" w:rsidRPr="00A4469C" w:rsidRDefault="00FE760C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FE760C" w:rsidTr="004267B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760C" w:rsidRPr="00A4469C" w:rsidRDefault="00FE760C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760C" w:rsidRPr="00A4469C" w:rsidRDefault="00FE760C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812B4" w:rsidTr="004267BB">
        <w:trPr>
          <w:trHeight w:val="64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812B4" w:rsidTr="004267BB">
        <w:trPr>
          <w:trHeight w:val="64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4267B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44D19" w:rsidTr="004267BB">
        <w:trPr>
          <w:trHeight w:val="74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4D19" w:rsidRPr="00A4469C" w:rsidRDefault="00F44D19" w:rsidP="00D165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4D19" w:rsidRDefault="00F44D19" w:rsidP="00D1651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4267BB" w:rsidTr="004267BB">
        <w:trPr>
          <w:trHeight w:val="74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267BB" w:rsidRPr="004267BB" w:rsidRDefault="004267BB" w:rsidP="008C5C9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za ribe(</w:t>
            </w:r>
            <w:r w:rsidRPr="004267BB">
              <w:rPr>
                <w:rFonts w:ascii="Times New Roman" w:hAnsi="Times New Roman" w:cs="Times New Roman"/>
                <w:i/>
              </w:rPr>
              <w:t>6-O-palmitoy</w:t>
            </w:r>
            <w:r>
              <w:rPr>
                <w:rFonts w:ascii="Times New Roman" w:hAnsi="Times New Roman" w:cs="Times New Roman"/>
                <w:i/>
              </w:rPr>
              <w:t>l</w:t>
            </w:r>
            <w:r w:rsidRPr="004267BB">
              <w:rPr>
                <w:rFonts w:ascii="Times New Roman" w:hAnsi="Times New Roman" w:cs="Times New Roman"/>
                <w:i/>
              </w:rPr>
              <w:t>ascorbic acid</w:t>
            </w:r>
            <w:r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267BB" w:rsidRDefault="004267BB" w:rsidP="008C5C9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LC50(96h) 51</w:t>
            </w:r>
            <w:r>
              <w:rPr>
                <w:rFonts w:ascii="Times New Roman" w:hAnsi="Times New Roman" w:cs="Times New Roman"/>
                <w:lang w:val="de-DE"/>
              </w:rPr>
              <w:t xml:space="preserve"> mg/l suspenzija (Salmo gairdneri)</w:t>
            </w:r>
          </w:p>
        </w:tc>
      </w:tr>
    </w:tbl>
    <w:p w:rsidR="004267BB" w:rsidRPr="002C21D4" w:rsidRDefault="004267BB" w:rsidP="004267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β-Carotene 10%)</w:t>
      </w:r>
    </w:p>
    <w:p w:rsidR="004267BB" w:rsidRPr="002C21D4" w:rsidRDefault="004267BB" w:rsidP="004267B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203EA8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267BB" w:rsidRDefault="004267BB" w:rsidP="004267BB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90"/>
        <w:gridCol w:w="6133"/>
      </w:tblGrid>
      <w:tr w:rsidR="000943B1" w:rsidTr="004267BB">
        <w:trPr>
          <w:trHeight w:val="74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D165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lastRenderedPageBreak/>
              <w:t>- Za organizme u zemljištu:</w:t>
            </w:r>
          </w:p>
        </w:tc>
        <w:tc>
          <w:tcPr>
            <w:tcW w:w="622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D1651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4267B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943B1" w:rsidTr="004267BB">
        <w:trPr>
          <w:trHeight w:val="45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943B1" w:rsidRPr="00A4469C" w:rsidRDefault="000943B1" w:rsidP="00AB4E3D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0943B1" w:rsidTr="004267BB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943B1" w:rsidTr="004267B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943B1" w:rsidTr="004267B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0943B1" w:rsidTr="004267B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0943B1" w:rsidTr="004267BB">
        <w:trPr>
          <w:trHeight w:val="36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0943B1" w:rsidTr="004267B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  <w:p w:rsidR="004267BB" w:rsidRPr="00A4469C" w:rsidRDefault="004267B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4267BB">
              <w:rPr>
                <w:rFonts w:ascii="Times New Roman" w:hAnsi="Times New Roman" w:cs="Times New Roman"/>
                <w:i/>
              </w:rPr>
              <w:t>6-O-palmitoy</w:t>
            </w:r>
            <w:r>
              <w:rPr>
                <w:rFonts w:ascii="Times New Roman" w:hAnsi="Times New Roman" w:cs="Times New Roman"/>
                <w:i/>
              </w:rPr>
              <w:t>l</w:t>
            </w:r>
            <w:r w:rsidRPr="004267BB">
              <w:rPr>
                <w:rFonts w:ascii="Times New Roman" w:hAnsi="Times New Roman" w:cs="Times New Roman"/>
                <w:i/>
              </w:rPr>
              <w:t>ascorbic acid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267BB" w:rsidRDefault="004267BB" w:rsidP="004267B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  <w:p w:rsidR="004267BB" w:rsidRDefault="004267BB" w:rsidP="004267B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Kompletno biorazgradljiv proizvod.</w:t>
            </w:r>
          </w:p>
          <w:p w:rsidR="004267BB" w:rsidRPr="00A4469C" w:rsidRDefault="004267BB" w:rsidP="004267B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48% (28d) (OECD Test Guideline 302C) suspenzija.</w:t>
            </w:r>
          </w:p>
        </w:tc>
      </w:tr>
      <w:tr w:rsidR="000943B1" w:rsidTr="004267B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4267BB">
        <w:trPr>
          <w:trHeight w:val="2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4267BB">
        <w:trPr>
          <w:trHeight w:val="45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0943B1" w:rsidTr="004267B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4267BB">
        <w:trPr>
          <w:trHeight w:val="36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0943B1" w:rsidTr="004267BB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4267B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4267BB">
        <w:trPr>
          <w:trHeight w:val="51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943B1" w:rsidTr="00203EA8">
        <w:trPr>
          <w:trHeight w:val="74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203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203EA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203EA8">
        <w:trPr>
          <w:trHeight w:val="144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203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203EA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203EA8">
        <w:trPr>
          <w:trHeight w:val="144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203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203EA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203EA8">
        <w:trPr>
          <w:trHeight w:val="144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203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203EA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267BB" w:rsidTr="00481386">
        <w:trPr>
          <w:trHeight w:val="80"/>
          <w:jc w:val="center"/>
        </w:trPr>
        <w:tc>
          <w:tcPr>
            <w:tcW w:w="1100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267BB" w:rsidRPr="00A4469C" w:rsidRDefault="004267BB" w:rsidP="00A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b/>
                <w:i/>
              </w:rPr>
              <w:t>Za ovaj proizvod nisu dostupni dodatni ekološki podaci.</w:t>
            </w:r>
          </w:p>
        </w:tc>
      </w:tr>
      <w:tr w:rsidR="000943B1" w:rsidTr="001B1D22">
        <w:trPr>
          <w:trHeight w:val="20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943B1" w:rsidRPr="0045717F" w:rsidRDefault="000943B1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0943B1" w:rsidTr="004267BB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B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943B1" w:rsidTr="00203EA8">
        <w:trPr>
          <w:trHeight w:val="74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C07A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Ponuditi ostatke i nereciklirajuće rastvore licenciranim firmama koje se bave odlaganjem otpada. </w:t>
            </w:r>
          </w:p>
        </w:tc>
      </w:tr>
      <w:tr w:rsidR="000943B1" w:rsidTr="004267BB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203EA8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Zagađena</w:t>
            </w:r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r w:rsidR="000943B1" w:rsidRPr="00A4469C">
              <w:rPr>
                <w:rFonts w:ascii="Times-New-Roman" w:hAnsi="Times-New-Roman" w:cs="Times-New-Roman"/>
                <w:i/>
              </w:rPr>
              <w:t>ambalaža</w:t>
            </w:r>
            <w:r w:rsidR="000943B1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C07A2E" w:rsidP="00A71C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Prazne kontejnere predati na recikliranje ili odlaganje</w:t>
            </w:r>
            <w:r w:rsidR="00A71C5D">
              <w:rPr>
                <w:rFonts w:ascii="Times-New-Roman" w:hAnsi="Times-New-Roman" w:cs="Times-New-Roman"/>
              </w:rPr>
              <w:t>.</w:t>
            </w:r>
            <w:r w:rsidR="00203EA8" w:rsidRPr="00AE7A75">
              <w:rPr>
                <w:rFonts w:ascii="Times New Roman" w:hAnsi="Times New Roman" w:cs="Times New Roman"/>
                <w:lang w:val="sr-Latn-RS"/>
              </w:rPr>
              <w:t xml:space="preserve"> Sa ambalažom postupiti u skladu sa Zakonom o ambalaži i ambalažnom otpadu („Sl.glasnik RS“, br.36/09).</w:t>
            </w:r>
          </w:p>
        </w:tc>
      </w:tr>
      <w:tr w:rsidR="000943B1" w:rsidTr="004267B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  <w:tr w:rsidR="0041337C" w:rsidTr="004267BB">
        <w:trPr>
          <w:trHeight w:val="70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1337C" w:rsidTr="007106DC">
        <w:trPr>
          <w:trHeight w:val="2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regulate-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4267BB">
        <w:trPr>
          <w:trHeight w:val="2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</w:tbl>
    <w:p w:rsidR="004267BB" w:rsidRPr="002C21D4" w:rsidRDefault="004267BB" w:rsidP="004267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β-Carotene 10%)</w:t>
      </w:r>
    </w:p>
    <w:p w:rsidR="004267BB" w:rsidRPr="002C21D4" w:rsidRDefault="004267BB" w:rsidP="004267B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203EA8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267BB" w:rsidRDefault="004267BB" w:rsidP="004267BB">
      <w:pPr>
        <w:jc w:val="right"/>
      </w:pPr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 xml:space="preserve">trana </w:t>
      </w:r>
      <w:r w:rsidR="00AD0ABA"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3060"/>
        <w:gridCol w:w="21"/>
        <w:gridCol w:w="3052"/>
      </w:tblGrid>
      <w:tr w:rsidR="0041337C" w:rsidTr="004267BB">
        <w:trPr>
          <w:trHeight w:val="260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D0ABA" w:rsidRDefault="0041337C" w:rsidP="00AD0A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D0ABA">
              <w:rPr>
                <w:rFonts w:ascii="Times New Roman" w:hAnsi="Times New Roman" w:cs="Times New Roman"/>
              </w:rPr>
              <w:lastRenderedPageBreak/>
              <w:t>ADR/RID</w:t>
            </w:r>
          </w:p>
        </w:tc>
        <w:tc>
          <w:tcPr>
            <w:tcW w:w="613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106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D0ABA" w:rsidRDefault="0041337C" w:rsidP="00AD0A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D0ABA">
              <w:rPr>
                <w:rFonts w:ascii="Times New Roman" w:hAnsi="Times New Roman" w:cs="Times New Roman"/>
                <w:b/>
                <w:bCs/>
                <w:i/>
              </w:rPr>
              <w:t>- Posebne mere opreza i uslovi prevoza</w:t>
            </w:r>
            <w:r w:rsidRPr="00AD0AB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7106D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D0ABA" w:rsidRDefault="0041337C" w:rsidP="00AD0A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D0ABA">
              <w:rPr>
                <w:rFonts w:ascii="Times New Roman" w:hAnsi="Times New Roman" w:cs="Times New Roman"/>
                <w:b/>
                <w:bCs/>
              </w:rPr>
              <w:t>- Klasifikacijske oznake za prevoz: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106DC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D0ABA" w:rsidRDefault="0041337C" w:rsidP="00AD0A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D0ABA">
              <w:rPr>
                <w:rFonts w:ascii="Times New Roman" w:hAnsi="Times New Roman" w:cs="Times New Roman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5F0560">
        <w:trPr>
          <w:trHeight w:val="27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D0ABA" w:rsidRDefault="0041337C" w:rsidP="00AD0A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D0AB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Kopneni prevoz (drumski/železnički ADR, RID)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5F0560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E21BDC">
        <w:trPr>
          <w:trHeight w:val="3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5F0560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E21BDC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Tr="00A123E5">
        <w:trPr>
          <w:trHeight w:val="18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E21B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41337C" w:rsidRPr="00B50CEA" w:rsidRDefault="00C07A2E" w:rsidP="00C07A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Obeležavanje prema EC Direktivama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E21BDC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B50CEA" w:rsidRDefault="0041337C" w:rsidP="00AD0AB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B50CEA">
              <w:rPr>
                <w:rFonts w:ascii="Times-New-Roman,Bold" w:hAnsi="Times-New-Roman,Bold" w:cs="Times-New-Roman,Bold"/>
                <w:b/>
                <w:bCs/>
              </w:rPr>
              <w:t>Oznaka: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1F4CB2" w:rsidRDefault="00C07A2E" w:rsidP="00AD0A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AD0AB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Oznake rizika: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21BDC" w:rsidRDefault="00C07A2E" w:rsidP="00AD0A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  <w:r w:rsidR="0041337C" w:rsidRPr="00E21BDC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41337C" w:rsidTr="001B1D22">
        <w:trPr>
          <w:trHeight w:val="8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Default="0041337C" w:rsidP="00AD0AB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Oznake bezbednosti: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6184E" w:rsidRDefault="00C07A2E" w:rsidP="00AD0A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  <w:r w:rsidR="0041337C" w:rsidRPr="00E21BDC">
              <w:rPr>
                <w:rFonts w:ascii="Times New Roman" w:hAnsi="Times New Roman" w:cs="Times New Roman"/>
              </w:rPr>
              <w:t>.</w:t>
            </w:r>
            <w:r w:rsidR="0041337C">
              <w:rPr>
                <w:sz w:val="23"/>
                <w:szCs w:val="23"/>
              </w:rPr>
              <w:t xml:space="preserve"> </w:t>
            </w:r>
          </w:p>
        </w:tc>
      </w:tr>
      <w:tr w:rsidR="0041337C" w:rsidTr="001B1D22">
        <w:trPr>
          <w:trHeight w:val="54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1337C" w:rsidRPr="00C57663" w:rsidRDefault="00AD0ABA" w:rsidP="0007476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Posebno obeležavanje određenih smeša: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41337C" w:rsidRPr="00C57663" w:rsidRDefault="00C07A2E" w:rsidP="00AD0A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Bezbednosni list je dostupan na zahtev za profesionalne korisnike.</w:t>
            </w:r>
          </w:p>
        </w:tc>
      </w:tr>
      <w:tr w:rsidR="0041337C" w:rsidTr="0027286B">
        <w:trPr>
          <w:trHeight w:val="54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C3539A" w:rsidRDefault="0041337C" w:rsidP="0027286B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BC22EF" w:rsidTr="0041337C">
        <w:trPr>
          <w:trHeight w:val="413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AB4E3D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7A2E" w:rsidRDefault="005F0560" w:rsidP="00A0120F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  <w:r w:rsidRPr="00C07A2E">
              <w:rPr>
                <w:rFonts w:ascii="Times New Roman" w:hAnsi="Times New Roman" w:cs="Times New Roman"/>
                <w:bCs/>
                <w:lang w:val="en-GB"/>
              </w:rPr>
              <w:t>R</w:t>
            </w:r>
            <w:r w:rsidR="00C07A2E" w:rsidRPr="00C07A2E">
              <w:rPr>
                <w:rFonts w:ascii="Times New Roman" w:hAnsi="Times New Roman" w:cs="Times New Roman"/>
                <w:bCs/>
                <w:lang w:val="en-GB"/>
              </w:rPr>
              <w:t>22</w:t>
            </w:r>
            <w:r w:rsidRPr="00C07A2E">
              <w:rPr>
                <w:rFonts w:ascii="Times New Roman" w:hAnsi="Times New Roman" w:cs="Times New Roman"/>
                <w:bCs/>
                <w:lang w:val="en-GB"/>
              </w:rPr>
              <w:t xml:space="preserve">- </w:t>
            </w:r>
            <w:r w:rsidR="00C07A2E" w:rsidRPr="00C07A2E">
              <w:rPr>
                <w:rFonts w:ascii="Times New Roman" w:hAnsi="Times New Roman" w:cs="Times New Roman"/>
              </w:rPr>
              <w:t xml:space="preserve">Štetno ako se proguta. </w:t>
            </w:r>
            <w:r w:rsidR="00C07A2E">
              <w:rPr>
                <w:sz w:val="23"/>
                <w:szCs w:val="23"/>
              </w:rPr>
              <w:t xml:space="preserve"> </w:t>
            </w:r>
          </w:p>
          <w:p w:rsidR="00AD0ABA" w:rsidRDefault="00AD0ABA" w:rsidP="00A0120F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  <w:r w:rsidRPr="00C07A2E">
              <w:rPr>
                <w:rFonts w:ascii="Times New Roman" w:hAnsi="Times New Roman" w:cs="Times New Roman"/>
              </w:rPr>
              <w:t xml:space="preserve">R52- Štetno za vodene organizme. </w:t>
            </w:r>
          </w:p>
          <w:p w:rsidR="00AD0ABA" w:rsidRPr="009621A5" w:rsidRDefault="00AD0ABA" w:rsidP="00AD0A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F4A">
              <w:rPr>
                <w:rFonts w:ascii="Times New Roman" w:hAnsi="Times New Roman" w:cs="Times New Roman"/>
                <w:bCs/>
                <w:lang w:val="en-GB"/>
              </w:rPr>
              <w:t xml:space="preserve">R53- </w:t>
            </w:r>
            <w:r w:rsidRPr="00F63F4A">
              <w:rPr>
                <w:rFonts w:ascii="Times New Roman" w:hAnsi="Times New Roman" w:cs="Times New Roman"/>
              </w:rPr>
              <w:t>Može izazvati dugotrajne štetne efekte u vodenoj životnoj sredini.</w:t>
            </w:r>
          </w:p>
        </w:tc>
      </w:tr>
      <w:tr w:rsidR="00C7566B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7106D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A0120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A0120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 w:rsidR="0041337C">
              <w:rPr>
                <w:rFonts w:ascii="Times New Roman" w:hAnsi="Times New Roman" w:cs="Times New Roman"/>
              </w:rPr>
              <w:t xml:space="preserve"> Nema.</w:t>
            </w:r>
          </w:p>
        </w:tc>
      </w:tr>
    </w:tbl>
    <w:p w:rsidR="00A0120F" w:rsidRDefault="00A0120F" w:rsidP="00A17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74541" w:rsidRPr="002C21D4" w:rsidRDefault="00474541" w:rsidP="004745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β-Carotene 10%)</w:t>
      </w:r>
    </w:p>
    <w:p w:rsidR="00474541" w:rsidRPr="002C21D4" w:rsidRDefault="00474541" w:rsidP="0047454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203EA8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106DC" w:rsidRDefault="007106DC" w:rsidP="007106DC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BC22EF" w:rsidTr="007106DC">
        <w:trPr>
          <w:trHeight w:val="465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lastRenderedPageBreak/>
              <w:t>- Ostali podaci:</w:t>
            </w:r>
          </w:p>
        </w:tc>
        <w:tc>
          <w:tcPr>
            <w:tcW w:w="61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7106DC">
        <w:trPr>
          <w:trHeight w:val="39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203EA8" w:rsidTr="001C55AF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03EA8" w:rsidRDefault="00203EA8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7106D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6669A8" w:rsidRDefault="0041337C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41337C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106DC" w:rsidRDefault="007106D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74541" w:rsidRPr="002C21D4" w:rsidRDefault="00474541" w:rsidP="004745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β-Carotene 10%)</w:t>
      </w:r>
    </w:p>
    <w:p w:rsidR="00474541" w:rsidRPr="002C21D4" w:rsidRDefault="00474541" w:rsidP="0047454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203EA8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351E80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8A3492">
        <w:rPr>
          <w:rFonts w:ascii="Times New Roman" w:hAnsi="Times New Roman" w:cs="Times New Roman"/>
        </w:rPr>
        <w:t>9</w:t>
      </w:r>
      <w:r w:rsidR="002C21D4" w:rsidRPr="009A04C5">
        <w:rPr>
          <w:rFonts w:ascii="Times New Roman" w:hAnsi="Times New Roman" w:cs="Times New Roman"/>
        </w:rPr>
        <w:t>/</w:t>
      </w:r>
      <w:r w:rsidR="008A3492">
        <w:rPr>
          <w:rFonts w:ascii="Times New Roman" w:hAnsi="Times New Roman" w:cs="Times New Roman"/>
        </w:rPr>
        <w:t>9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EE" w:rsidRDefault="00C727EE" w:rsidP="005E0553">
      <w:pPr>
        <w:spacing w:after="0" w:line="240" w:lineRule="auto"/>
      </w:pPr>
      <w:r>
        <w:separator/>
      </w:r>
    </w:p>
  </w:endnote>
  <w:endnote w:type="continuationSeparator" w:id="0">
    <w:p w:rsidR="00C727EE" w:rsidRDefault="00C727EE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EE" w:rsidRDefault="00C727EE" w:rsidP="005E0553">
      <w:pPr>
        <w:spacing w:after="0" w:line="240" w:lineRule="auto"/>
      </w:pPr>
      <w:r>
        <w:separator/>
      </w:r>
    </w:p>
  </w:footnote>
  <w:footnote w:type="continuationSeparator" w:id="0">
    <w:p w:rsidR="00C727EE" w:rsidRDefault="00C727EE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41" w:rsidRDefault="00474541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74541" w:rsidRPr="00D23B93" w:rsidRDefault="00474541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1E63"/>
    <w:rsid w:val="0002750E"/>
    <w:rsid w:val="00031683"/>
    <w:rsid w:val="0004713E"/>
    <w:rsid w:val="00054A79"/>
    <w:rsid w:val="00067DCF"/>
    <w:rsid w:val="00071B7E"/>
    <w:rsid w:val="0007476B"/>
    <w:rsid w:val="00074FD9"/>
    <w:rsid w:val="00085431"/>
    <w:rsid w:val="000943B1"/>
    <w:rsid w:val="00096130"/>
    <w:rsid w:val="000E3E04"/>
    <w:rsid w:val="000F2585"/>
    <w:rsid w:val="00117B76"/>
    <w:rsid w:val="0012537F"/>
    <w:rsid w:val="001273F5"/>
    <w:rsid w:val="001472BC"/>
    <w:rsid w:val="00147F3F"/>
    <w:rsid w:val="00152071"/>
    <w:rsid w:val="00161F1C"/>
    <w:rsid w:val="00167471"/>
    <w:rsid w:val="00186345"/>
    <w:rsid w:val="001B1D22"/>
    <w:rsid w:val="001D45F2"/>
    <w:rsid w:val="001F4CB2"/>
    <w:rsid w:val="00203EA8"/>
    <w:rsid w:val="002052E7"/>
    <w:rsid w:val="00234156"/>
    <w:rsid w:val="00243877"/>
    <w:rsid w:val="00264501"/>
    <w:rsid w:val="00266788"/>
    <w:rsid w:val="0027286B"/>
    <w:rsid w:val="002739FC"/>
    <w:rsid w:val="002866E7"/>
    <w:rsid w:val="0028690C"/>
    <w:rsid w:val="002A36C3"/>
    <w:rsid w:val="002B0CA1"/>
    <w:rsid w:val="002B13B9"/>
    <w:rsid w:val="002C1ECB"/>
    <w:rsid w:val="002C21D4"/>
    <w:rsid w:val="002C36FB"/>
    <w:rsid w:val="002C7808"/>
    <w:rsid w:val="0032758A"/>
    <w:rsid w:val="00335A8D"/>
    <w:rsid w:val="00351689"/>
    <w:rsid w:val="00351E80"/>
    <w:rsid w:val="00356F05"/>
    <w:rsid w:val="0038518E"/>
    <w:rsid w:val="00394137"/>
    <w:rsid w:val="0039538E"/>
    <w:rsid w:val="003B320B"/>
    <w:rsid w:val="003B3B37"/>
    <w:rsid w:val="003D12EC"/>
    <w:rsid w:val="003F131A"/>
    <w:rsid w:val="004068D3"/>
    <w:rsid w:val="004105AA"/>
    <w:rsid w:val="0041337C"/>
    <w:rsid w:val="00422A41"/>
    <w:rsid w:val="004267BB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74541"/>
    <w:rsid w:val="00481C81"/>
    <w:rsid w:val="004851FC"/>
    <w:rsid w:val="004875A3"/>
    <w:rsid w:val="004C7BA4"/>
    <w:rsid w:val="00505DE2"/>
    <w:rsid w:val="005148B0"/>
    <w:rsid w:val="00524B27"/>
    <w:rsid w:val="005252C9"/>
    <w:rsid w:val="00536A1D"/>
    <w:rsid w:val="005377C2"/>
    <w:rsid w:val="005979D5"/>
    <w:rsid w:val="005A212A"/>
    <w:rsid w:val="005B1B79"/>
    <w:rsid w:val="005B3CA4"/>
    <w:rsid w:val="005C1966"/>
    <w:rsid w:val="005D0B13"/>
    <w:rsid w:val="005E0553"/>
    <w:rsid w:val="005F0560"/>
    <w:rsid w:val="005F462A"/>
    <w:rsid w:val="00607DA6"/>
    <w:rsid w:val="006164A0"/>
    <w:rsid w:val="00617AA1"/>
    <w:rsid w:val="006228A1"/>
    <w:rsid w:val="006351DF"/>
    <w:rsid w:val="0063635E"/>
    <w:rsid w:val="006558E6"/>
    <w:rsid w:val="006669A8"/>
    <w:rsid w:val="0067694D"/>
    <w:rsid w:val="00676F94"/>
    <w:rsid w:val="006812B4"/>
    <w:rsid w:val="006A1DEE"/>
    <w:rsid w:val="006B37E9"/>
    <w:rsid w:val="006B5251"/>
    <w:rsid w:val="006C720B"/>
    <w:rsid w:val="006D1224"/>
    <w:rsid w:val="006E27B7"/>
    <w:rsid w:val="006E68A5"/>
    <w:rsid w:val="006F2F8B"/>
    <w:rsid w:val="006F43A9"/>
    <w:rsid w:val="007106DC"/>
    <w:rsid w:val="0071109E"/>
    <w:rsid w:val="007110B0"/>
    <w:rsid w:val="00714C28"/>
    <w:rsid w:val="0072765F"/>
    <w:rsid w:val="00737075"/>
    <w:rsid w:val="007518B9"/>
    <w:rsid w:val="007543CD"/>
    <w:rsid w:val="00794AD3"/>
    <w:rsid w:val="007B1579"/>
    <w:rsid w:val="007D59BC"/>
    <w:rsid w:val="007D61B6"/>
    <w:rsid w:val="007E419C"/>
    <w:rsid w:val="007E53B6"/>
    <w:rsid w:val="007E59D4"/>
    <w:rsid w:val="00811949"/>
    <w:rsid w:val="00813673"/>
    <w:rsid w:val="008151FC"/>
    <w:rsid w:val="00824C25"/>
    <w:rsid w:val="008302DE"/>
    <w:rsid w:val="00831D13"/>
    <w:rsid w:val="00851214"/>
    <w:rsid w:val="008558C9"/>
    <w:rsid w:val="00856467"/>
    <w:rsid w:val="00872636"/>
    <w:rsid w:val="0088161C"/>
    <w:rsid w:val="00884F14"/>
    <w:rsid w:val="008865EA"/>
    <w:rsid w:val="008962A9"/>
    <w:rsid w:val="008A3492"/>
    <w:rsid w:val="008A5D51"/>
    <w:rsid w:val="008B2A29"/>
    <w:rsid w:val="008C114A"/>
    <w:rsid w:val="008C30B3"/>
    <w:rsid w:val="008E49CB"/>
    <w:rsid w:val="00902FC3"/>
    <w:rsid w:val="00914E90"/>
    <w:rsid w:val="00917F6A"/>
    <w:rsid w:val="009309C6"/>
    <w:rsid w:val="009359FB"/>
    <w:rsid w:val="0095276B"/>
    <w:rsid w:val="00953BC8"/>
    <w:rsid w:val="00960B7C"/>
    <w:rsid w:val="009621A5"/>
    <w:rsid w:val="009634D6"/>
    <w:rsid w:val="00980C6D"/>
    <w:rsid w:val="00981B20"/>
    <w:rsid w:val="009A04C5"/>
    <w:rsid w:val="009C50E8"/>
    <w:rsid w:val="009F787D"/>
    <w:rsid w:val="00A00327"/>
    <w:rsid w:val="00A0120F"/>
    <w:rsid w:val="00A02733"/>
    <w:rsid w:val="00A063E3"/>
    <w:rsid w:val="00A123E5"/>
    <w:rsid w:val="00A15368"/>
    <w:rsid w:val="00A17F06"/>
    <w:rsid w:val="00A25630"/>
    <w:rsid w:val="00A3582C"/>
    <w:rsid w:val="00A35FBB"/>
    <w:rsid w:val="00A3622A"/>
    <w:rsid w:val="00A508F7"/>
    <w:rsid w:val="00A71C5D"/>
    <w:rsid w:val="00A807EE"/>
    <w:rsid w:val="00A84B29"/>
    <w:rsid w:val="00AA3358"/>
    <w:rsid w:val="00AB4E3D"/>
    <w:rsid w:val="00AC627F"/>
    <w:rsid w:val="00AD0ABA"/>
    <w:rsid w:val="00AD7D39"/>
    <w:rsid w:val="00AD7EC8"/>
    <w:rsid w:val="00AE2827"/>
    <w:rsid w:val="00B12957"/>
    <w:rsid w:val="00B50CEA"/>
    <w:rsid w:val="00B60E28"/>
    <w:rsid w:val="00B924FE"/>
    <w:rsid w:val="00BA07AB"/>
    <w:rsid w:val="00BC048F"/>
    <w:rsid w:val="00BC22EF"/>
    <w:rsid w:val="00BD12CF"/>
    <w:rsid w:val="00BD7869"/>
    <w:rsid w:val="00BE2459"/>
    <w:rsid w:val="00C00128"/>
    <w:rsid w:val="00C07A2E"/>
    <w:rsid w:val="00C2169A"/>
    <w:rsid w:val="00C3539A"/>
    <w:rsid w:val="00C44762"/>
    <w:rsid w:val="00C464FB"/>
    <w:rsid w:val="00C54609"/>
    <w:rsid w:val="00C57663"/>
    <w:rsid w:val="00C656DC"/>
    <w:rsid w:val="00C727EE"/>
    <w:rsid w:val="00C72846"/>
    <w:rsid w:val="00C7566B"/>
    <w:rsid w:val="00C979C4"/>
    <w:rsid w:val="00CB461D"/>
    <w:rsid w:val="00CC32B9"/>
    <w:rsid w:val="00CD1990"/>
    <w:rsid w:val="00D03287"/>
    <w:rsid w:val="00D104E8"/>
    <w:rsid w:val="00D1651E"/>
    <w:rsid w:val="00D23B93"/>
    <w:rsid w:val="00D32554"/>
    <w:rsid w:val="00D459DB"/>
    <w:rsid w:val="00D51D00"/>
    <w:rsid w:val="00D5451D"/>
    <w:rsid w:val="00D552F8"/>
    <w:rsid w:val="00D62DE6"/>
    <w:rsid w:val="00D860C3"/>
    <w:rsid w:val="00D9076B"/>
    <w:rsid w:val="00DA295D"/>
    <w:rsid w:val="00DC08B6"/>
    <w:rsid w:val="00DC363F"/>
    <w:rsid w:val="00DC46A9"/>
    <w:rsid w:val="00DC4F00"/>
    <w:rsid w:val="00DD10C3"/>
    <w:rsid w:val="00DE34B9"/>
    <w:rsid w:val="00E13312"/>
    <w:rsid w:val="00E21BDC"/>
    <w:rsid w:val="00E34D54"/>
    <w:rsid w:val="00E5128F"/>
    <w:rsid w:val="00E6184E"/>
    <w:rsid w:val="00E747D7"/>
    <w:rsid w:val="00E87E5D"/>
    <w:rsid w:val="00E917B2"/>
    <w:rsid w:val="00E936CC"/>
    <w:rsid w:val="00EA31F3"/>
    <w:rsid w:val="00EC2B94"/>
    <w:rsid w:val="00EC607C"/>
    <w:rsid w:val="00ED030C"/>
    <w:rsid w:val="00ED42CE"/>
    <w:rsid w:val="00EE1F05"/>
    <w:rsid w:val="00EF3E95"/>
    <w:rsid w:val="00EF4C7C"/>
    <w:rsid w:val="00EF58BD"/>
    <w:rsid w:val="00F103C0"/>
    <w:rsid w:val="00F21701"/>
    <w:rsid w:val="00F41802"/>
    <w:rsid w:val="00F44D19"/>
    <w:rsid w:val="00F4586F"/>
    <w:rsid w:val="00F63302"/>
    <w:rsid w:val="00F65A6A"/>
    <w:rsid w:val="00F87B4D"/>
    <w:rsid w:val="00F92024"/>
    <w:rsid w:val="00FA3ED0"/>
    <w:rsid w:val="00FC3855"/>
    <w:rsid w:val="00FC4D1B"/>
    <w:rsid w:val="00FD39FE"/>
    <w:rsid w:val="00FD4FC3"/>
    <w:rsid w:val="00FD78B7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14DF-785D-424A-A40C-8371CEBC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9</cp:revision>
  <dcterms:created xsi:type="dcterms:W3CDTF">2012-12-13T08:24:00Z</dcterms:created>
  <dcterms:modified xsi:type="dcterms:W3CDTF">2013-01-25T13:32:00Z</dcterms:modified>
</cp:coreProperties>
</file>